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7088"/>
          <w:tab w:val="right" w:pos="9781"/>
          <w:tab w:val="clear" w:pos="8306"/>
        </w:tabs>
        <w:spacing w:after="0"/>
        <w:rPr>
          <w:rFonts w:hint="default" w:ascii="Arial" w:hAnsi="Arial" w:cs="Arial"/>
          <w:b/>
          <w:bCs/>
          <w:sz w:val="22"/>
          <w:lang w:val="en-US" w:eastAsia="zh-CN"/>
        </w:rPr>
      </w:pPr>
      <w:r>
        <w:rPr>
          <w:rFonts w:ascii="Arial" w:hAnsi="Arial" w:cs="Arial"/>
          <w:b/>
          <w:bCs/>
          <w:sz w:val="22"/>
        </w:rPr>
        <w:t>3GPP TSG RAN WG1 #</w:t>
      </w:r>
      <w:r>
        <w:rPr>
          <w:rFonts w:hint="eastAsia" w:ascii="Arial" w:hAnsi="Arial" w:cs="Arial"/>
          <w:b/>
          <w:bCs/>
          <w:sz w:val="22"/>
          <w:lang w:val="en-US" w:eastAsia="zh-CN"/>
        </w:rPr>
        <w:t xml:space="preserve">123                                                 </w:t>
      </w:r>
      <w:r>
        <w:rPr>
          <w:rFonts w:ascii="Arial" w:hAnsi="Arial" w:cs="Arial"/>
          <w:b/>
          <w:bCs/>
          <w:sz w:val="22"/>
          <w:lang w:val="en-US" w:eastAsia="zh-CN"/>
        </w:rPr>
        <w:t xml:space="preserve">                                     </w:t>
      </w:r>
      <w:r>
        <w:rPr>
          <w:rFonts w:hint="eastAsia" w:ascii="Arial" w:hAnsi="Arial" w:cs="Arial"/>
          <w:b/>
          <w:bCs/>
          <w:sz w:val="22"/>
          <w:lang w:val="en-US" w:eastAsia="zh-CN"/>
        </w:rPr>
        <w:t xml:space="preserve">    </w:t>
      </w:r>
      <w:r>
        <w:rPr>
          <w:rFonts w:ascii="Arial" w:hAnsi="Arial" w:cs="Arial"/>
          <w:b/>
          <w:bCs/>
          <w:sz w:val="22"/>
          <w:lang w:val="en-US" w:eastAsia="zh-CN"/>
        </w:rPr>
        <w:t xml:space="preserve"> </w:t>
      </w:r>
      <w:r>
        <w:rPr>
          <w:rFonts w:hint="eastAsia" w:ascii="Arial" w:hAnsi="Arial" w:cs="Arial"/>
          <w:b/>
          <w:bCs/>
          <w:sz w:val="22"/>
          <w:lang w:val="en-US" w:eastAsia="zh-CN"/>
        </w:rPr>
        <w:t>R1-2509412</w:t>
      </w:r>
    </w:p>
    <w:p>
      <w:pPr>
        <w:rPr>
          <w:rFonts w:hint="default" w:ascii="Arial" w:hAnsi="Arial" w:cs="Arial"/>
          <w:b/>
          <w:bCs/>
          <w:sz w:val="22"/>
          <w:szCs w:val="22"/>
        </w:rPr>
      </w:pPr>
      <w:r>
        <w:rPr>
          <w:rFonts w:hint="default" w:ascii="Arial" w:hAnsi="Arial" w:eastAsia="宋体" w:cs="Arial"/>
          <w:b/>
          <w:bCs/>
          <w:sz w:val="22"/>
          <w:lang w:val="en-US"/>
        </w:rPr>
        <w:t>Dallas, USA, Nov 17</w:t>
      </w:r>
      <w:r>
        <w:rPr>
          <w:rFonts w:hint="default" w:ascii="Arial" w:hAnsi="Arial" w:eastAsia="宋体" w:cs="Arial"/>
          <w:b/>
          <w:bCs/>
          <w:sz w:val="22"/>
          <w:vertAlign w:val="superscript"/>
          <w:lang w:val="en-US"/>
        </w:rPr>
        <w:t>th</w:t>
      </w:r>
      <w:r>
        <w:rPr>
          <w:rFonts w:hint="default" w:ascii="Arial" w:hAnsi="Arial" w:eastAsia="宋体" w:cs="Arial"/>
          <w:b/>
          <w:bCs/>
          <w:sz w:val="22"/>
          <w:lang w:val="en-US"/>
        </w:rPr>
        <w:t xml:space="preserve"> – 21</w:t>
      </w:r>
      <w:r>
        <w:rPr>
          <w:rFonts w:hint="default" w:ascii="Arial" w:hAnsi="Arial" w:eastAsia="宋体" w:cs="Arial"/>
          <w:b/>
          <w:bCs/>
          <w:sz w:val="22"/>
          <w:vertAlign w:val="superscript"/>
          <w:lang w:val="en-US"/>
        </w:rPr>
        <w:t>st</w:t>
      </w:r>
      <w:r>
        <w:rPr>
          <w:rFonts w:hint="default" w:ascii="Arial" w:hAnsi="Arial" w:eastAsia="宋体" w:cs="Arial"/>
          <w:b/>
          <w:bCs/>
          <w:sz w:val="22"/>
          <w:lang w:val="en-US"/>
        </w:rPr>
        <w:t>, 2025</w:t>
      </w:r>
    </w:p>
    <w:p>
      <w:pPr>
        <w:spacing w:after="60"/>
        <w:ind w:left="1985" w:hanging="1985"/>
        <w:rPr>
          <w:rFonts w:ascii="Arial" w:hAnsi="Arial" w:cs="Arial"/>
          <w:bCs/>
        </w:rPr>
      </w:pPr>
      <w:r>
        <w:rPr>
          <w:rFonts w:ascii="Arial" w:hAnsi="Arial" w:cs="Arial"/>
          <w:b/>
        </w:rPr>
        <w:t>Source:</w:t>
      </w:r>
      <w:r>
        <w:rPr>
          <w:rFonts w:ascii="Arial" w:hAnsi="Arial" w:cs="Arial"/>
          <w:b/>
        </w:rPr>
        <w:tab/>
      </w:r>
      <w:r>
        <w:rPr>
          <w:rFonts w:ascii="Arial" w:hAnsi="Arial" w:cs="Arial"/>
          <w:b/>
        </w:rPr>
        <w:t>ZTE Corporation, Sanechips</w:t>
      </w:r>
    </w:p>
    <w:p>
      <w:pPr>
        <w:spacing w:after="60"/>
        <w:ind w:left="1985" w:hanging="1985"/>
        <w:rPr>
          <w:rFonts w:ascii="Arial" w:hAnsi="Arial" w:cs="Arial"/>
          <w:b/>
        </w:rPr>
      </w:pPr>
      <w:r>
        <w:rPr>
          <w:rFonts w:ascii="Arial" w:hAnsi="Arial" w:cs="Arial"/>
          <w:b/>
        </w:rPr>
        <w:t>Title:</w:t>
      </w:r>
      <w:r>
        <w:rPr>
          <w:rFonts w:ascii="Arial" w:hAnsi="Arial" w:cs="Arial"/>
          <w:b/>
        </w:rPr>
        <w:tab/>
      </w:r>
      <w:r>
        <w:rPr>
          <w:rFonts w:hint="eastAsia" w:ascii="Arial" w:hAnsi="Arial" w:cs="Arial"/>
          <w:b/>
        </w:rPr>
        <w:t xml:space="preserve">Discussion on </w:t>
      </w:r>
      <w:r>
        <w:rPr>
          <w:rFonts w:hint="eastAsia" w:ascii="Arial" w:hAnsi="Arial" w:cs="Arial"/>
          <w:b/>
          <w:lang w:val="en-US" w:eastAsia="zh-CN"/>
        </w:rPr>
        <w:t xml:space="preserve">the </w:t>
      </w:r>
      <w:r>
        <w:rPr>
          <w:rFonts w:hint="eastAsia" w:ascii="Arial" w:hAnsi="Arial" w:cs="Arial"/>
          <w:b/>
        </w:rPr>
        <w:t>LS of RAN4 RRM agreement update on switching pattern application</w:t>
      </w:r>
    </w:p>
    <w:p>
      <w:pPr>
        <w:spacing w:after="60"/>
        <w:ind w:left="1985" w:hanging="1985"/>
        <w:rPr>
          <w:rFonts w:hint="eastAsia" w:ascii="Arial" w:hAnsi="Arial" w:eastAsia="宋体" w:cs="Arial"/>
          <w:bCs/>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5</w:t>
      </w:r>
    </w:p>
    <w:p>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pPr>
        <w:pStyle w:val="4"/>
        <w:pBdr>
          <w:top w:val="single" w:color="auto" w:sz="12" w:space="0"/>
        </w:pBdr>
      </w:pPr>
      <w:r>
        <w:t>Introduction</w:t>
      </w:r>
    </w:p>
    <w:p>
      <w:r>
        <w:rPr>
          <w:rFonts w:hint="eastAsia"/>
          <w:lang w:val="en-US" w:eastAsia="zh-CN"/>
        </w:rPr>
        <w:t>In the LS R1-2508315/</w:t>
      </w:r>
      <w:r>
        <w:rPr>
          <w:rFonts w:hint="eastAsia"/>
          <w:lang w:val="en-US" w:eastAsia="en-US"/>
        </w:rPr>
        <w:t>R4-2514847</w:t>
      </w:r>
      <w:r>
        <w:rPr>
          <w:rFonts w:hint="eastAsia"/>
          <w:lang w:val="en-US" w:eastAsia="zh-CN"/>
        </w:rPr>
        <w:t xml:space="preserve"> from RAN4, the applicability of the switching pattern has been updated and copied below</w:t>
      </w:r>
      <w: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ascii="Times New Roman" w:hAnsi="Times New Roman" w:cs="Times New Roman"/>
                <w:lang w:val="en-US"/>
              </w:rPr>
            </w:pPr>
            <w:r>
              <w:rPr>
                <w:rFonts w:hint="default" w:ascii="Times New Roman" w:hAnsi="Times New Roman" w:cs="Times New Roman"/>
                <w:lang w:val="en-US"/>
              </w:rPr>
              <w:t xml:space="preserve">RAN4 has further discussed the applicability of </w:t>
            </w:r>
            <w:r>
              <w:rPr>
                <w:rFonts w:hint="default" w:ascii="Times New Roman" w:hAnsi="Times New Roman" w:cs="Times New Roman"/>
                <w:bCs/>
                <w:lang w:eastAsia="ko-KR"/>
              </w:rPr>
              <w:t>switching pattern for SDL SCell</w:t>
            </w:r>
            <w:r>
              <w:rPr>
                <w:rFonts w:hint="default" w:ascii="Times New Roman" w:hAnsi="Times New Roman" w:cs="Times New Roman"/>
                <w:lang w:val="en-US"/>
              </w:rPr>
              <w:t xml:space="preserve"> for RRM requirements and would like to share the following update to RAN1.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after="0"/>
                    <w:rPr>
                      <w:rFonts w:hint="default" w:ascii="Times New Roman" w:hAnsi="Times New Roman" w:eastAsia="Batang" w:cs="Times New Roman"/>
                      <w:bCs/>
                      <w:lang w:eastAsia="ko-KR"/>
                    </w:rPr>
                  </w:pPr>
                  <w:r>
                    <w:rPr>
                      <w:rFonts w:hint="default" w:ascii="Times New Roman" w:hAnsi="Times New Roman" w:eastAsia="Batang" w:cs="Times New Roman"/>
                      <w:bCs/>
                      <w:lang w:eastAsia="ko-KR"/>
                    </w:rPr>
                    <w:t>Agreement:</w:t>
                  </w:r>
                </w:p>
                <w:p>
                  <w:pPr>
                    <w:pStyle w:val="35"/>
                    <w:numPr>
                      <w:ilvl w:val="0"/>
                      <w:numId w:val="13"/>
                    </w:numPr>
                    <w:spacing w:after="0"/>
                    <w:ind w:left="360"/>
                    <w:contextualSpacing w:val="0"/>
                    <w:rPr>
                      <w:rFonts w:hint="default" w:ascii="Times New Roman" w:hAnsi="Times New Roman" w:eastAsia="Batang" w:cs="Times New Roman"/>
                      <w:bCs/>
                      <w:lang w:eastAsia="ko-KR"/>
                    </w:rPr>
                  </w:pPr>
                  <w:r>
                    <w:rPr>
                      <w:rFonts w:hint="default" w:ascii="Times New Roman" w:hAnsi="Times New Roman" w:eastAsia="Batang" w:cs="Times New Roman"/>
                      <w:bCs/>
                      <w:lang w:eastAsia="ko-KR"/>
                    </w:rPr>
                    <w:t xml:space="preserve">Revise the previous agreement in </w:t>
                  </w:r>
                  <w:r>
                    <w:rPr>
                      <w:rFonts w:hint="default" w:ascii="Times New Roman" w:hAnsi="Times New Roman" w:cs="Times New Roman"/>
                    </w:rPr>
                    <w:fldChar w:fldCharType="begin"/>
                  </w:r>
                  <w:r>
                    <w:rPr>
                      <w:rFonts w:hint="default" w:ascii="Times New Roman" w:hAnsi="Times New Roman" w:cs="Times New Roman"/>
                    </w:rPr>
                    <w:instrText xml:space="preserve"> HYPERLINK "ftp://10.10.10.10/ftp/tsg_ran/WG4_Radio/TSGR4_114bis/Inbox/R4-2504895.zip" </w:instrText>
                  </w:r>
                  <w:r>
                    <w:rPr>
                      <w:rFonts w:hint="default" w:ascii="Times New Roman" w:hAnsi="Times New Roman" w:cs="Times New Roman"/>
                    </w:rPr>
                    <w:fldChar w:fldCharType="separate"/>
                  </w:r>
                  <w:r>
                    <w:rPr>
                      <w:rStyle w:val="28"/>
                      <w:rFonts w:hint="default" w:ascii="Times New Roman" w:hAnsi="Times New Roman" w:eastAsia="Batang" w:cs="Times New Roman"/>
                      <w:bCs/>
                      <w:lang w:eastAsia="ko-KR"/>
                    </w:rPr>
                    <w:t>R4-2504895</w:t>
                  </w:r>
                  <w:r>
                    <w:rPr>
                      <w:rStyle w:val="28"/>
                      <w:rFonts w:hint="default" w:ascii="Times New Roman" w:hAnsi="Times New Roman" w:eastAsia="Batang" w:cs="Times New Roman"/>
                      <w:bCs/>
                      <w:lang w:eastAsia="ko-KR"/>
                    </w:rPr>
                    <w:fldChar w:fldCharType="end"/>
                  </w:r>
                  <w:r>
                    <w:rPr>
                      <w:rFonts w:hint="default" w:ascii="Times New Roman" w:hAnsi="Times New Roman" w:eastAsia="Batang" w:cs="Times New Roman"/>
                      <w:bCs/>
                      <w:lang w:eastAsia="ko-KR"/>
                    </w:rPr>
                    <w:t xml:space="preserve"> issue 1-1-3 (RAN4 #114bis) for the SCell which is in activation procedure:</w:t>
                  </w:r>
                </w:p>
                <w:p>
                  <w:pPr>
                    <w:pStyle w:val="35"/>
                    <w:numPr>
                      <w:ilvl w:val="1"/>
                      <w:numId w:val="14"/>
                    </w:numPr>
                    <w:spacing w:after="0"/>
                    <w:contextualSpacing w:val="0"/>
                    <w:jc w:val="both"/>
                    <w:rPr>
                      <w:rFonts w:hint="default" w:ascii="Times New Roman" w:hAnsi="Times New Roman" w:eastAsia="Batang" w:cs="Times New Roman"/>
                      <w:bCs/>
                    </w:rPr>
                  </w:pPr>
                  <w:r>
                    <w:rPr>
                      <w:rFonts w:hint="default" w:ascii="Times New Roman" w:hAnsi="Times New Roman" w:eastAsia="Batang" w:cs="Times New Roman"/>
                      <w:bCs/>
                    </w:rPr>
                    <w:t>For the SCell which is in activation procedure,</w:t>
                  </w:r>
                </w:p>
                <w:p>
                  <w:pPr>
                    <w:pStyle w:val="35"/>
                    <w:numPr>
                      <w:ilvl w:val="2"/>
                      <w:numId w:val="14"/>
                    </w:numPr>
                    <w:spacing w:after="0"/>
                    <w:contextualSpacing w:val="0"/>
                    <w:jc w:val="both"/>
                    <w:rPr>
                      <w:rFonts w:hint="default" w:ascii="Times New Roman" w:hAnsi="Times New Roman" w:eastAsia="Batang" w:cs="Times New Roman"/>
                      <w:bCs/>
                    </w:rPr>
                  </w:pPr>
                  <w:r>
                    <w:rPr>
                      <w:rFonts w:hint="default" w:ascii="Times New Roman" w:hAnsi="Times New Roman" w:eastAsia="Batang" w:cs="Times New Roman"/>
                      <w:bCs/>
                    </w:rPr>
                    <w:t>The RRC configured switching pattern for SDL SCell is applied.</w:t>
                  </w:r>
                </w:p>
              </w:tc>
            </w:tr>
          </w:tbl>
          <w:p>
            <w:pPr>
              <w:keepNext w:val="0"/>
              <w:keepLines w:val="0"/>
              <w:pageBreakBefore w:val="0"/>
              <w:widowControl/>
              <w:kinsoku/>
              <w:wordWrap/>
              <w:overflowPunct/>
              <w:topLinePunct w:val="0"/>
              <w:autoSpaceDE/>
              <w:autoSpaceDN/>
              <w:bidi w:val="0"/>
              <w:adjustRightInd/>
              <w:snapToGrid/>
              <w:spacing w:before="0" w:beforeLines="50" w:after="120"/>
              <w:ind w:left="992" w:hanging="992"/>
              <w:textAlignment w:val="auto"/>
              <w:rPr>
                <w:rFonts w:hint="default" w:ascii="Times New Roman" w:hAnsi="Times New Roman" w:cs="Times New Roman"/>
                <w:vertAlign w:val="baseline"/>
              </w:rPr>
            </w:pPr>
            <w:r>
              <w:rPr>
                <w:rFonts w:hint="default" w:ascii="Times New Roman" w:hAnsi="Times New Roman" w:cs="Times New Roman"/>
                <w:b/>
                <w:lang w:val="en-US"/>
              </w:rPr>
              <w:t xml:space="preserve">ACTION: </w:t>
            </w:r>
            <w:r>
              <w:rPr>
                <w:rFonts w:hint="default" w:ascii="Times New Roman" w:hAnsi="Times New Roman" w:cs="Times New Roman"/>
                <w:b/>
                <w:lang w:val="en-US"/>
              </w:rPr>
              <w:tab/>
            </w:r>
            <w:r>
              <w:rPr>
                <w:rFonts w:hint="default" w:ascii="Times New Roman" w:hAnsi="Times New Roman" w:cs="Times New Roman"/>
                <w:lang w:val="en-US"/>
              </w:rPr>
              <w:t>RAN4 respectfully asks RAN1 to take the above into account in their future work.</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color w:val="auto"/>
          <w:lang w:val="en-US" w:eastAsia="zh-CN"/>
        </w:rPr>
      </w:pPr>
      <w:r>
        <w:t xml:space="preserve">In this contribution, we provide our analysis </w:t>
      </w:r>
      <w:r>
        <w:rPr>
          <w:rFonts w:hint="eastAsia"/>
          <w:lang w:val="en-US" w:eastAsia="zh-CN"/>
        </w:rPr>
        <w:t xml:space="preserve">of the RAN1 </w:t>
      </w:r>
      <w:r>
        <w:rPr>
          <w:rFonts w:hint="eastAsia"/>
          <w:color w:val="auto"/>
          <w:lang w:val="en-US" w:eastAsia="zh-CN"/>
        </w:rPr>
        <w:t>impact</w:t>
      </w:r>
      <w:r>
        <w:rPr>
          <w:color w:val="auto"/>
        </w:rPr>
        <w:t>.</w:t>
      </w:r>
    </w:p>
    <w:p>
      <w:pPr>
        <w:pStyle w:val="4"/>
        <w:rPr>
          <w:color w:val="auto"/>
          <w:lang w:val="en-US" w:eastAsia="zh-CN"/>
        </w:rPr>
      </w:pPr>
      <w:r>
        <w:rPr>
          <w:rFonts w:hint="eastAsia"/>
          <w:color w:val="auto"/>
          <w:lang w:val="en-US" w:eastAsia="zh-CN"/>
        </w:rPr>
        <w:t>Discussion</w:t>
      </w:r>
    </w:p>
    <w:p>
      <w:pPr>
        <w:spacing w:before="120" w:beforeLines="50"/>
        <w:rPr>
          <w:rFonts w:hint="eastAsia" w:ascii="Times New Roman" w:hAnsi="Times New Roman" w:eastAsia="宋体" w:cs="Times New Roman"/>
          <w:lang w:val="en-US" w:eastAsia="zh-CN"/>
        </w:rPr>
      </w:pPr>
      <w:r>
        <w:rPr>
          <w:rFonts w:hint="eastAsia"/>
          <w:color w:val="auto"/>
          <w:lang w:val="en-US" w:eastAsia="zh-CN"/>
        </w:rPr>
        <w:t>I</w:t>
      </w:r>
      <w:r>
        <w:rPr>
          <w:rFonts w:hint="eastAsia" w:ascii="Times New Roman" w:hAnsi="Times New Roman" w:eastAsia="宋体" w:cs="Times New Roman"/>
          <w:lang w:val="en-US" w:eastAsia="zh-CN"/>
        </w:rPr>
        <w:t xml:space="preserve">n </w:t>
      </w:r>
      <w:r>
        <w:rPr>
          <w:rFonts w:hint="eastAsia" w:cs="Times New Roman"/>
          <w:lang w:val="en-US" w:eastAsia="zh-CN"/>
        </w:rPr>
        <w:t>RAN1#121 meeting, the LS R1-2503215/</w:t>
      </w:r>
      <w:r>
        <w:rPr>
          <w:rFonts w:hint="eastAsia" w:cs="Times New Roman"/>
          <w:lang w:val="en-US" w:eastAsia="en-US"/>
        </w:rPr>
        <w:t>R4-2504969</w:t>
      </w:r>
      <w:r>
        <w:rPr>
          <w:rFonts w:hint="eastAsia" w:cs="Times New Roman"/>
          <w:lang w:val="en-US" w:eastAsia="zh-CN"/>
        </w:rPr>
        <w:t xml:space="preserve"> from RAN4 informs RAN1 that the switching pattern for SDL SCell is applied when the SCell has been activated, but not when the SCell is in activation procedure or deactivated</w:t>
      </w:r>
      <w:r>
        <w:rPr>
          <w:rFonts w:hint="eastAsia" w:ascii="Times New Roman" w:hAnsi="Times New Roman" w:eastAsia="宋体" w:cs="Times New Roman"/>
          <w:lang w:val="en-US" w:eastAsia="zh-CN"/>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RAN4 discussed the applicability of </w:t>
            </w:r>
            <w:r>
              <w:rPr>
                <w:rFonts w:hint="default" w:ascii="Times New Roman" w:hAnsi="Times New Roman" w:cs="Times New Roman"/>
                <w:bCs/>
                <w:sz w:val="20"/>
                <w:szCs w:val="20"/>
                <w:lang w:eastAsia="ko-KR"/>
              </w:rPr>
              <w:t>switching pattern for SDL SCell</w:t>
            </w:r>
            <w:r>
              <w:rPr>
                <w:rFonts w:hint="default" w:ascii="Times New Roman" w:hAnsi="Times New Roman" w:cs="Times New Roman"/>
                <w:sz w:val="20"/>
                <w:szCs w:val="20"/>
                <w:lang w:val="en-US"/>
              </w:rPr>
              <w:t xml:space="preserve"> for RRM requirements and would like to share the following information to RAN1.</w:t>
            </w:r>
          </w:p>
          <w:p>
            <w:pPr>
              <w:pStyle w:val="35"/>
              <w:numPr>
                <w:ilvl w:val="3"/>
                <w:numId w:val="13"/>
              </w:numPr>
              <w:ind w:left="360"/>
              <w:contextualSpacing w:val="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For the SCell which has been activated (i.e., after UE reporting valid CQI for SCell activation, e.g., in section 8.3.2 TS38.133),</w:t>
            </w:r>
          </w:p>
          <w:p>
            <w:pPr>
              <w:pStyle w:val="35"/>
              <w:numPr>
                <w:ilvl w:val="4"/>
                <w:numId w:val="13"/>
              </w:numPr>
              <w:ind w:left="720"/>
              <w:contextualSpacing w:val="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The switching pattern for SDL SCell is applied.</w:t>
            </w:r>
          </w:p>
          <w:p>
            <w:pPr>
              <w:pStyle w:val="35"/>
              <w:numPr>
                <w:ilvl w:val="0"/>
                <w:numId w:val="13"/>
              </w:numPr>
              <w:ind w:left="360"/>
              <w:contextualSpacing w:val="0"/>
              <w:rPr>
                <w:rFonts w:hint="default" w:ascii="Times New Roman" w:hAnsi="Times New Roman" w:cs="Times New Roman"/>
                <w:bCs/>
                <w:sz w:val="20"/>
                <w:szCs w:val="20"/>
                <w:highlight w:val="yellow"/>
                <w:lang w:eastAsia="ko-KR"/>
              </w:rPr>
            </w:pPr>
            <w:r>
              <w:rPr>
                <w:rFonts w:hint="default" w:ascii="Times New Roman" w:hAnsi="Times New Roman" w:cs="Times New Roman"/>
                <w:bCs/>
                <w:sz w:val="20"/>
                <w:szCs w:val="20"/>
                <w:highlight w:val="yellow"/>
                <w:lang w:eastAsia="ko-KR"/>
              </w:rPr>
              <w:t>For the SCell which is in activation procedure,</w:t>
            </w:r>
          </w:p>
          <w:p>
            <w:pPr>
              <w:pStyle w:val="35"/>
              <w:numPr>
                <w:ilvl w:val="1"/>
                <w:numId w:val="13"/>
              </w:numPr>
              <w:ind w:left="720"/>
              <w:contextualSpacing w:val="0"/>
              <w:rPr>
                <w:rFonts w:hint="default" w:ascii="Times New Roman" w:hAnsi="Times New Roman" w:cs="Times New Roman"/>
                <w:bCs/>
                <w:sz w:val="20"/>
                <w:szCs w:val="20"/>
                <w:highlight w:val="yellow"/>
                <w:lang w:eastAsia="ko-KR"/>
              </w:rPr>
            </w:pPr>
            <w:r>
              <w:rPr>
                <w:rFonts w:hint="default" w:ascii="Times New Roman" w:hAnsi="Times New Roman" w:cs="Times New Roman"/>
                <w:bCs/>
                <w:sz w:val="20"/>
                <w:szCs w:val="20"/>
                <w:highlight w:val="yellow"/>
                <w:lang w:eastAsia="ko-KR"/>
              </w:rPr>
              <w:t>The switching pattern for SDL SCell is not applied.</w:t>
            </w:r>
          </w:p>
          <w:p>
            <w:pPr>
              <w:pStyle w:val="35"/>
              <w:numPr>
                <w:ilvl w:val="4"/>
                <w:numId w:val="13"/>
              </w:numPr>
              <w:ind w:left="720"/>
              <w:contextualSpacing w:val="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RAN4 defines SCell activation requirement assuming UE utilizes the RS occasions to perform SDL SCell activation</w:t>
            </w:r>
          </w:p>
          <w:p>
            <w:pPr>
              <w:pStyle w:val="35"/>
              <w:numPr>
                <w:ilvl w:val="1"/>
                <w:numId w:val="13"/>
              </w:numPr>
              <w:contextualSpacing w:val="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the above RS occasions are FFS</w:t>
            </w:r>
          </w:p>
          <w:p>
            <w:pPr>
              <w:pStyle w:val="35"/>
              <w:numPr>
                <w:ilvl w:val="1"/>
                <w:numId w:val="13"/>
              </w:numPr>
              <w:contextualSpacing w:val="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 xml:space="preserve">RAN4 will also discuss potential scheduling restriction/interruption </w:t>
            </w:r>
            <w:r>
              <w:rPr>
                <w:rFonts w:hint="default" w:ascii="Times New Roman" w:hAnsi="Times New Roman" w:cs="Times New Roman"/>
                <w:bCs/>
                <w:sz w:val="20"/>
                <w:szCs w:val="20"/>
                <w:lang w:val="en-US" w:eastAsia="zh-CN"/>
              </w:rPr>
              <w:t xml:space="preserve">on PCell </w:t>
            </w:r>
            <w:r>
              <w:rPr>
                <w:rFonts w:hint="default" w:ascii="Times New Roman" w:hAnsi="Times New Roman" w:cs="Times New Roman"/>
                <w:bCs/>
                <w:sz w:val="20"/>
                <w:szCs w:val="20"/>
                <w:lang w:eastAsia="ko-KR"/>
              </w:rPr>
              <w:t>during the SCell activation procedure for receiving the above mentioned RS occasions for the SCell activation</w:t>
            </w:r>
          </w:p>
          <w:p>
            <w:pPr>
              <w:pStyle w:val="35"/>
              <w:numPr>
                <w:ilvl w:val="0"/>
                <w:numId w:val="13"/>
              </w:numPr>
              <w:ind w:left="360"/>
              <w:contextualSpacing w:val="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For the SCell which is deactivated,</w:t>
            </w:r>
          </w:p>
          <w:p>
            <w:pPr>
              <w:pStyle w:val="35"/>
              <w:numPr>
                <w:ilvl w:val="1"/>
                <w:numId w:val="13"/>
              </w:numPr>
              <w:ind w:left="720"/>
              <w:contextualSpacing w:val="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The switching pattern for SDL SCell is not applied.</w:t>
            </w:r>
          </w:p>
          <w:p>
            <w:pPr>
              <w:pStyle w:val="35"/>
              <w:numPr>
                <w:ilvl w:val="1"/>
                <w:numId w:val="13"/>
              </w:numPr>
              <w:ind w:left="720"/>
              <w:contextualSpacing w:val="0"/>
              <w:rPr>
                <w:rFonts w:hint="default" w:ascii="Times New Roman" w:hAnsi="Times New Roman" w:cs="Times New Roman"/>
                <w:bCs/>
                <w:sz w:val="20"/>
                <w:szCs w:val="20"/>
                <w:lang w:eastAsia="ko-KR"/>
              </w:rPr>
            </w:pPr>
            <w:r>
              <w:rPr>
                <w:rFonts w:hint="default" w:ascii="Times New Roman" w:hAnsi="Times New Roman" w:cs="Times New Roman"/>
                <w:bCs/>
                <w:sz w:val="20"/>
                <w:szCs w:val="20"/>
                <w:lang w:eastAsia="ko-KR"/>
              </w:rPr>
              <w:t xml:space="preserve">RAN4 will discuss and decide whether/how UE to perform the deactivated SDL SCell measurement </w:t>
            </w:r>
          </w:p>
          <w:p>
            <w:pPr>
              <w:rPr>
                <w:rFonts w:hint="default" w:ascii="Times New Roman" w:hAnsi="Times New Roman" w:cs="Times New Roman"/>
                <w:sz w:val="20"/>
                <w:szCs w:val="20"/>
                <w:vertAlign w:val="baseline"/>
                <w:lang w:val="en-US" w:eastAsia="zh-CN"/>
              </w:rPr>
            </w:pPr>
            <w:r>
              <w:rPr>
                <w:rFonts w:hint="default" w:ascii="Times New Roman" w:hAnsi="Times New Roman" w:cs="Times New Roman"/>
                <w:bCs/>
                <w:sz w:val="20"/>
                <w:szCs w:val="20"/>
                <w:lang w:eastAsia="ko-KR"/>
              </w:rPr>
              <w:t>Note: The switching pattern for SDL SCell referred above is the RAN1 defined semi-static switching pattern configured through RRC for the FDD PCell/SDL SCell switching.</w:t>
            </w:r>
          </w:p>
        </w:tc>
      </w:tr>
    </w:tbl>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eastAsia="宋体"/>
          <w:color w:val="auto"/>
          <w:lang w:val="en-US" w:eastAsia="zh-CN"/>
        </w:rPr>
      </w:pPr>
      <w:r>
        <w:rPr>
          <w:rFonts w:hint="eastAsia"/>
          <w:lang w:val="en-US" w:eastAsia="zh-CN"/>
        </w:rPr>
        <w:t>Therefore, RAN1 spec was drafted based on the LS from RAN4 [1</w:t>
      </w:r>
      <w:bookmarkStart w:id="11" w:name="_GoBack"/>
      <w:bookmarkEnd w:id="11"/>
      <w:r>
        <w:rPr>
          <w:rFonts w:hint="eastAsia"/>
          <w:lang w:val="en-US" w:eastAsia="zh-CN"/>
        </w:rPr>
        <w:t>]</w:t>
      </w:r>
      <w:r>
        <w:rPr>
          <w:color w:val="auto"/>
        </w:rPr>
        <w:t>.</w:t>
      </w:r>
      <w:r>
        <w:rPr>
          <w:rFonts w:hint="eastAsia"/>
          <w:color w:val="auto"/>
          <w:lang w:val="en-US" w:eastAsia="zh-CN"/>
        </w:rPr>
        <w:t xml:space="preserve"> That is, </w:t>
      </w:r>
      <w:r>
        <w:rPr>
          <w:rFonts w:hint="eastAsia" w:cs="Times New Roman"/>
          <w:lang w:val="en-US" w:eastAsia="zh-CN"/>
        </w:rPr>
        <w:t>the switching pattern is applied when the SCell is activated.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
              <w:rPr>
                <w:rFonts w:hint="eastAsia" w:ascii="Times New Roman" w:hAnsi="Times New Roman" w:cs="Times New Roman"/>
                <w:color w:val="auto"/>
                <w:lang w:val="en-GB" w:eastAsia="en-US" w:bidi="ar-SA"/>
              </w:rPr>
            </w:pPr>
            <w:bookmarkStart w:id="0" w:name="_Toc201953694"/>
            <w:bookmarkStart w:id="1" w:name="_Toc45699193"/>
            <w:bookmarkStart w:id="2" w:name="_Ref497329097"/>
            <w:bookmarkStart w:id="3" w:name="_Toc29899556"/>
            <w:bookmarkStart w:id="4" w:name="_Toc20311581"/>
            <w:bookmarkStart w:id="5" w:name="_Toc29899138"/>
            <w:bookmarkStart w:id="6" w:name="_Toc26719406"/>
            <w:bookmarkStart w:id="7" w:name="_Toc29917293"/>
            <w:bookmarkStart w:id="8" w:name="_Toc12021469"/>
            <w:bookmarkStart w:id="9" w:name="_Toc29894839"/>
            <w:bookmarkStart w:id="10" w:name="_Toc36498167"/>
            <w:r>
              <w:rPr>
                <w:rFonts w:hint="eastAsia" w:ascii="Times New Roman" w:hAnsi="Times New Roman" w:cs="Times New Roman"/>
                <w:color w:val="auto"/>
                <w:lang w:val="en-US" w:eastAsia="zh-CN" w:bidi="ar-SA"/>
              </w:rPr>
              <w:t>24</w:t>
            </w:r>
            <w:r>
              <w:rPr>
                <w:rFonts w:hint="eastAsia" w:ascii="Times New Roman" w:hAnsi="Times New Roman" w:cs="Times New Roman"/>
                <w:color w:val="auto"/>
                <w:lang w:val="en-GB" w:eastAsia="en-US" w:bidi="ar-SA"/>
              </w:rPr>
              <w:tab/>
            </w:r>
            <w:bookmarkEnd w:id="0"/>
            <w:bookmarkEnd w:id="1"/>
            <w:bookmarkEnd w:id="2"/>
            <w:bookmarkEnd w:id="3"/>
            <w:bookmarkEnd w:id="4"/>
            <w:bookmarkEnd w:id="5"/>
            <w:bookmarkEnd w:id="6"/>
            <w:bookmarkEnd w:id="7"/>
            <w:bookmarkEnd w:id="8"/>
            <w:bookmarkEnd w:id="9"/>
            <w:bookmarkEnd w:id="10"/>
            <w:r>
              <w:rPr>
                <w:rFonts w:hint="eastAsia" w:ascii="Times New Roman" w:hAnsi="Times New Roman" w:cs="Times New Roman"/>
                <w:color w:val="auto"/>
                <w:lang w:val="en-US" w:eastAsia="zh-CN" w:bidi="ar-SA"/>
              </w:rPr>
              <w:t>Downlink carrier aggregation via switching</w:t>
            </w:r>
          </w:p>
          <w:p>
            <w:pPr>
              <w:rPr>
                <w:lang w:eastAsia="zh-CN"/>
              </w:rPr>
            </w:pPr>
            <w:r>
              <w:rPr>
                <w:lang w:eastAsia="zh-CN"/>
              </w:rPr>
              <w:t xml:space="preserve">A UE that can switch operation between a PCell, that includes a DL carrier and a paired UL carrier, and an SCell, that includes a DL carrier without a paired UL carrier, can be provided by </w:t>
            </w:r>
            <w:r>
              <w:rPr>
                <w:i/>
                <w:lang w:eastAsia="zh-CN"/>
              </w:rPr>
              <w:t>LBCA-SwitchingPattern</w:t>
            </w:r>
            <w:r>
              <w:rPr>
                <w:lang w:eastAsia="zh-CN"/>
              </w:rPr>
              <w:t xml:space="preserve"> a bitmap of slots indicating a switching pattern between the PCell and the SCell </w:t>
            </w:r>
            <w:r>
              <w:rPr>
                <w:highlight w:val="cyan"/>
                <w:lang w:eastAsia="zh-CN"/>
              </w:rPr>
              <w:t>when the SCell is activated</w:t>
            </w:r>
            <w:r>
              <w:rPr>
                <w:lang w:eastAsia="zh-CN"/>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rPr>
              <w:t>The first slot of the bitmap is same as the first slot of a system frame with SFN 0 on the PCell. The SCS for all configured DL BWPs or UL BWPs on both the PCell and the SCell is 15 kHz and the periodicity of the switching pattern is 40 slots.</w:t>
            </w:r>
          </w:p>
          <w:p>
            <w:pPr>
              <w:pStyle w:val="2"/>
              <w:jc w:val="center"/>
              <w:rPr>
                <w:rFonts w:hint="default"/>
                <w:lang w:val="en-US" w:eastAsia="zh-CN"/>
              </w:rPr>
            </w:pPr>
            <w:r>
              <w:rPr>
                <w:rFonts w:ascii="Times New Roman" w:hAnsi="Times New Roman" w:eastAsia="宋体" w:cs="Times New Roman"/>
                <w:color w:val="auto"/>
                <w:lang w:val="en-US" w:eastAsia="en-US" w:bidi="ar-SA"/>
              </w:rPr>
              <w:t>&lt;Unchanged parts are omitted&gt;</w:t>
            </w:r>
          </w:p>
        </w:tc>
      </w:tr>
    </w:tbl>
    <w:p>
      <w:pPr>
        <w:spacing w:before="120" w:beforeLines="50"/>
        <w:rPr>
          <w:rFonts w:hint="eastAsia" w:cs="Times New Roman"/>
          <w:lang w:val="en-US" w:eastAsia="zh-CN"/>
        </w:rPr>
      </w:pPr>
      <w:r>
        <w:rPr>
          <w:rFonts w:hint="eastAsia" w:cs="Times New Roman"/>
          <w:color w:val="auto"/>
          <w:lang w:val="en-US" w:eastAsia="zh-CN"/>
        </w:rPr>
        <w:t>However</w:t>
      </w:r>
      <w:r>
        <w:rPr>
          <w:rFonts w:hint="eastAsia" w:ascii="Times New Roman" w:hAnsi="Times New Roman" w:eastAsia="宋体" w:cs="Times New Roman"/>
          <w:color w:val="auto"/>
          <w:lang w:val="en-US" w:eastAsia="zh-CN"/>
        </w:rPr>
        <w:t xml:space="preserve">, </w:t>
      </w:r>
      <w:r>
        <w:rPr>
          <w:rFonts w:hint="eastAsia" w:cs="Times New Roman"/>
          <w:color w:val="auto"/>
          <w:lang w:val="en-US" w:eastAsia="zh-CN"/>
        </w:rPr>
        <w:t xml:space="preserve">based on the latest LS </w:t>
      </w:r>
      <w:r>
        <w:rPr>
          <w:rFonts w:hint="eastAsia"/>
          <w:lang w:val="en-US" w:eastAsia="zh-CN"/>
        </w:rPr>
        <w:t>R1-2508315/</w:t>
      </w:r>
      <w:r>
        <w:rPr>
          <w:rFonts w:hint="eastAsia"/>
          <w:lang w:val="en-US" w:eastAsia="en-US"/>
        </w:rPr>
        <w:t>R4-2514847</w:t>
      </w:r>
      <w:r>
        <w:rPr>
          <w:rFonts w:hint="eastAsia"/>
          <w:lang w:val="en-US" w:eastAsia="zh-CN"/>
        </w:rPr>
        <w:t xml:space="preserve"> from RAN4, the switching pattern is also applied when</w:t>
      </w:r>
      <w:r>
        <w:rPr>
          <w:rFonts w:hint="default" w:ascii="Times New Roman" w:hAnsi="Times New Roman" w:cs="Times New Roman"/>
          <w:bCs/>
          <w:sz w:val="20"/>
          <w:szCs w:val="20"/>
          <w:lang w:eastAsia="ko-KR"/>
        </w:rPr>
        <w:t xml:space="preserve"> the SCell is in activation procedure,</w:t>
      </w:r>
      <w:r>
        <w:rPr>
          <w:rFonts w:hint="eastAsia" w:cs="Times New Roman"/>
          <w:bCs/>
          <w:sz w:val="20"/>
          <w:szCs w:val="20"/>
          <w:lang w:val="en-US" w:eastAsia="zh-CN"/>
        </w:rPr>
        <w:t xml:space="preserve"> which r</w:t>
      </w:r>
      <w:r>
        <w:rPr>
          <w:rFonts w:hint="default" w:ascii="Times New Roman" w:hAnsi="Times New Roman" w:eastAsia="Batang" w:cs="Times New Roman"/>
          <w:bCs/>
          <w:lang w:eastAsia="ko-KR"/>
        </w:rPr>
        <w:t xml:space="preserve">evise </w:t>
      </w:r>
      <w:r>
        <w:rPr>
          <w:rFonts w:hint="default" w:ascii="Times New Roman" w:hAnsi="Times New Roman" w:eastAsia="Batang" w:cs="Times New Roman"/>
          <w:bCs/>
          <w:highlight w:val="yellow"/>
          <w:lang w:eastAsia="ko-KR"/>
        </w:rPr>
        <w:t xml:space="preserve">the </w:t>
      </w:r>
      <w:r>
        <w:rPr>
          <w:rFonts w:hint="eastAsia" w:eastAsia="宋体" w:cs="Times New Roman"/>
          <w:bCs/>
          <w:highlight w:val="yellow"/>
          <w:lang w:val="en-US" w:eastAsia="zh-CN"/>
        </w:rPr>
        <w:t>second bullet</w:t>
      </w:r>
      <w:r>
        <w:rPr>
          <w:rFonts w:hint="eastAsia" w:eastAsia="宋体" w:cs="Times New Roman"/>
          <w:bCs/>
          <w:lang w:val="en-US" w:eastAsia="zh-CN"/>
        </w:rPr>
        <w:t xml:space="preserve"> in the </w:t>
      </w:r>
      <w:r>
        <w:rPr>
          <w:rFonts w:hint="default" w:ascii="Times New Roman" w:hAnsi="Times New Roman" w:eastAsia="Batang" w:cs="Times New Roman"/>
          <w:bCs/>
          <w:lang w:eastAsia="ko-KR"/>
        </w:rPr>
        <w:t xml:space="preserve">previous </w:t>
      </w:r>
      <w:r>
        <w:rPr>
          <w:rFonts w:hint="eastAsia" w:eastAsia="宋体" w:cs="Times New Roman"/>
          <w:bCs/>
          <w:lang w:val="en-US" w:eastAsia="zh-CN"/>
        </w:rPr>
        <w:t xml:space="preserve">LS </w:t>
      </w:r>
      <w:r>
        <w:rPr>
          <w:rFonts w:hint="eastAsia" w:cs="Times New Roman"/>
          <w:lang w:val="en-US" w:eastAsia="zh-CN"/>
        </w:rPr>
        <w:t>R1-2503215/</w:t>
      </w:r>
      <w:r>
        <w:rPr>
          <w:rFonts w:hint="eastAsia" w:cs="Times New Roman"/>
          <w:lang w:val="en-US" w:eastAsia="en-US"/>
        </w:rPr>
        <w:t>R4-2504969</w:t>
      </w:r>
      <w:r>
        <w:rPr>
          <w:rFonts w:hint="eastAsia" w:cs="Times New Roman"/>
          <w:lang w:val="en-US" w:eastAsia="zh-CN"/>
        </w:rPr>
        <w:t xml:space="preserve">. As a result, RAN1 spec shall be updated to reflect the switching pattern is applied when SCell is activated and when the SCell is in activation procedure.  </w:t>
      </w:r>
    </w:p>
    <w:p>
      <w:pPr>
        <w:spacing w:before="120" w:beforeLines="50"/>
        <w:rPr>
          <w:rFonts w:hint="default"/>
          <w:i/>
          <w:iCs/>
          <w:lang w:val="en-US" w:eastAsia="zh-CN"/>
        </w:rPr>
      </w:pPr>
      <w:r>
        <w:rPr>
          <w:rFonts w:hint="eastAsia" w:cs="Times New Roman"/>
          <w:b/>
          <w:bCs/>
          <w:i/>
          <w:iCs/>
          <w:lang w:val="en-US" w:eastAsia="zh-CN"/>
        </w:rPr>
        <w:t>Observation 1</w:t>
      </w:r>
      <w:r>
        <w:rPr>
          <w:rFonts w:hint="eastAsia" w:cs="Times New Roman"/>
          <w:i/>
          <w:iCs/>
          <w:lang w:val="en-US" w:eastAsia="zh-CN"/>
        </w:rPr>
        <w:t>: The switching pattern is applied when the SCell is activated and in activation procedure.</w:t>
      </w:r>
    </w:p>
    <w:p>
      <w:pPr>
        <w:spacing w:before="120" w:beforeLines="50"/>
        <w:rPr>
          <w:rFonts w:hint="eastAsia" w:cs="Times New Roman"/>
          <w:lang w:val="en-US" w:eastAsia="zh-CN"/>
        </w:rPr>
      </w:pPr>
      <w:r>
        <w:rPr>
          <w:rFonts w:hint="eastAsia" w:cs="Times New Roman"/>
          <w:lang w:val="en-US" w:eastAsia="zh-CN"/>
        </w:rPr>
        <w:t xml:space="preserve">Furthermore, after checking TS38.133, when to start applying the switching pattern and when to stop applying the switching pattern have been defined in clause 8.3.2, 8.3.3 and 8.3.4. That is, the accurate time duration of applicability of the switching pattern does not need to be captured in the RAN1 spec.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2"/>
              <w:rPr>
                <w:rFonts w:hint="eastAsia" w:ascii="Times New Roman" w:hAnsi="Times New Roman" w:cs="Times New Roman"/>
                <w:color w:val="auto"/>
                <w:lang w:val="en-GB" w:eastAsia="en-US" w:bidi="ar-SA"/>
              </w:rPr>
            </w:pPr>
            <w:r>
              <w:rPr>
                <w:rFonts w:hint="eastAsia" w:ascii="Times New Roman" w:hAnsi="Times New Roman" w:cs="Times New Roman"/>
                <w:color w:val="auto"/>
                <w:lang w:val="en-US" w:eastAsia="zh-CN" w:bidi="ar-SA"/>
              </w:rPr>
              <w:t>8.3.2</w:t>
            </w:r>
            <w:r>
              <w:rPr>
                <w:rFonts w:hint="eastAsia" w:ascii="Times New Roman" w:hAnsi="Times New Roman" w:cs="Times New Roman"/>
                <w:color w:val="auto"/>
                <w:lang w:val="en-GB" w:eastAsia="en-US" w:bidi="ar-SA"/>
              </w:rPr>
              <w:tab/>
            </w:r>
            <w:r>
              <w:rPr>
                <w:rFonts w:hint="eastAsia" w:ascii="Times New Roman" w:hAnsi="Times New Roman" w:cs="Times New Roman"/>
                <w:color w:val="auto"/>
                <w:lang w:val="en-US" w:eastAsia="zh-CN" w:bidi="ar-SA"/>
              </w:rPr>
              <w:t>SCell Activation Delay Requirement for Deactivated SCell</w:t>
            </w:r>
          </w:p>
          <w:p>
            <w:r>
              <w:t xml:space="preserve">The requirements in this clause shall apply for the UE configured with </w:t>
            </w:r>
            <w:r>
              <w:rPr>
                <w:rFonts w:hint="eastAsia"/>
                <w:lang w:eastAsia="zh-CN"/>
              </w:rPr>
              <w:t xml:space="preserve">at least </w:t>
            </w:r>
            <w:r>
              <w:t xml:space="preserve">one downlink SCell </w:t>
            </w:r>
            <w:r>
              <w:rPr>
                <w:lang w:eastAsia="zh-CN"/>
              </w:rPr>
              <w:t>in EN-DC, or in standalone NR carrier aggregation or in NE-DC or in NR-DC and when one SCell is being activated</w:t>
            </w:r>
            <w:r>
              <w:t xml:space="preserve">. </w:t>
            </w:r>
          </w:p>
          <w:p>
            <w:r>
              <w:rPr>
                <w:iCs/>
              </w:rPr>
              <w:t xml:space="preserve">For the UE supporting LB-CA via switching and configured with LBCA-SwitchingPattern in FR1, when the SDL SCell reference signals to be measured for SCell activation are fully overlapped with the SDL SCell active periods based on the LBCA-SwitchingPattern, the following requirements apply for SDL SCell activation.  </w:t>
            </w:r>
          </w:p>
          <w:p>
            <w:r>
              <w:t xml:space="preserve">When the UE supporting LB-CA via switching is configured with </w:t>
            </w:r>
            <w:r>
              <w:rPr>
                <w:i/>
                <w:iCs/>
                <w:lang w:eastAsia="ko-KR"/>
              </w:rPr>
              <w:t>LBCA-SwitchingPattern</w:t>
            </w:r>
            <w:r>
              <w:rPr>
                <w:lang w:eastAsia="ko-KR"/>
              </w:rPr>
              <w:t xml:space="preserve"> and the </w:t>
            </w:r>
            <w:r>
              <w:t xml:space="preserve">SCell to be activated is an SDL SCell, upon receiving SCell activation command in slot </w:t>
            </w:r>
            <w:r>
              <w:rPr>
                <w:i/>
              </w:rPr>
              <w:t>n</w:t>
            </w:r>
            <w:r>
              <w:t xml:space="preserve">, the </w:t>
            </w:r>
            <w:r>
              <w:rPr>
                <w:lang w:eastAsia="ko-KR"/>
              </w:rPr>
              <w:t xml:space="preserve">UE shall activate the configured </w:t>
            </w:r>
            <w:r>
              <w:rPr>
                <w:i/>
                <w:iCs/>
                <w:lang w:eastAsia="ko-KR"/>
              </w:rPr>
              <w:t>LBCA-SwitchingPattern</w:t>
            </w:r>
            <w:r>
              <w:rPr>
                <w:lang w:eastAsia="ko-KR"/>
              </w:rPr>
              <w:t xml:space="preserve"> at slot </w:t>
            </w:r>
            <m:oMath>
              <m:r>
                <m:rP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HARQ</m:t>
                      </m:r>
                      <m:ctrlPr>
                        <w:rPr>
                          <w:rFonts w:ascii="Cambria Math" w:hAnsi="Cambria Math"/>
                          <w:lang w:eastAsia="ko-KR"/>
                        </w:rPr>
                      </m:ctrlPr>
                    </m:sub>
                  </m:sSub>
                  <m:r>
                    <m:rPr>
                      <m:sty m:val="p"/>
                    </m:rPr>
                    <w:rPr>
                      <w:rFonts w:ascii="Cambria Math" w:hAnsi="Cambria Math"/>
                      <w:lang w:eastAsia="ko-KR"/>
                    </w:rPr>
                    <m:t>+3</m:t>
                  </m:r>
                  <m:r>
                    <m:rP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LBCA</m:t>
                      </m:r>
                      <m:ctrlPr>
                        <w:rPr>
                          <w:rFonts w:ascii="Cambria Math" w:hAnsi="Cambria Math"/>
                          <w:lang w:eastAsia="ko-KR"/>
                        </w:rPr>
                      </m:ctrlPr>
                    </m:sub>
                  </m:sSub>
                  <m:ctrlPr>
                    <w:rPr>
                      <w:rFonts w:ascii="Cambria Math" w:hAnsi="Cambria Math"/>
                      <w:lang w:eastAsia="ko-KR"/>
                    </w:rPr>
                  </m:ctrlPr>
                </m:num>
                <m:den>
                  <m:r>
                    <m:rPr/>
                    <w:rPr>
                      <w:rFonts w:ascii="Cambria Math" w:hAnsi="Cambria Math"/>
                      <w:lang w:eastAsia="ko-KR"/>
                    </w:rPr>
                    <m:t>NR</m:t>
                  </m:r>
                  <m:r>
                    <m:rPr>
                      <m:sty m:val="p"/>
                    </m:rPr>
                    <w:rPr>
                      <w:rFonts w:ascii="Cambria Math" w:hAnsi="Cambria Math"/>
                      <w:lang w:eastAsia="ko-KR"/>
                    </w:rPr>
                    <m:t xml:space="preserve"> </m:t>
                  </m:r>
                  <m:r>
                    <m:rPr/>
                    <w:rPr>
                      <w:rFonts w:ascii="Cambria Math" w:hAnsi="Cambria Math"/>
                      <w:lang w:eastAsia="ko-KR"/>
                    </w:rPr>
                    <m:t>slot</m:t>
                  </m:r>
                  <m:r>
                    <m:rPr>
                      <m:sty m:val="p"/>
                    </m:rPr>
                    <w:rPr>
                      <w:rFonts w:ascii="Cambria Math" w:hAnsi="Cambria Math"/>
                      <w:lang w:eastAsia="ko-KR"/>
                    </w:rPr>
                    <m:t xml:space="preserve"> </m:t>
                  </m:r>
                  <m:r>
                    <m:rPr/>
                    <w:rPr>
                      <w:rFonts w:ascii="Cambria Math" w:hAnsi="Cambria Math"/>
                      <w:lang w:eastAsia="ko-KR"/>
                    </w:rPr>
                    <m:t>lengtℎ</m:t>
                  </m:r>
                  <m:ctrlPr>
                    <w:rPr>
                      <w:rFonts w:ascii="Cambria Math" w:hAnsi="Cambria Math"/>
                      <w:lang w:eastAsia="ko-KR"/>
                    </w:rPr>
                  </m:ctrlPr>
                </m:den>
              </m:f>
            </m:oMath>
            <w:r>
              <w:rPr>
                <w:lang w:eastAsia="ko-KR"/>
              </w:rPr>
              <w:t>,</w:t>
            </w:r>
            <w:r>
              <w:t xml:space="preserve">  where T</w:t>
            </w:r>
            <w:r>
              <w:rPr>
                <w:vertAlign w:val="subscript"/>
              </w:rPr>
              <w:t>LBCA</w:t>
            </w:r>
            <w:r>
              <w:t xml:space="preserve"> is the UE processing delay for activating the </w:t>
            </w:r>
            <w:r>
              <w:rPr>
                <w:i/>
              </w:rPr>
              <w:t>LBCA-SwitchingPattern</w:t>
            </w:r>
            <w:r>
              <w:t>.</w:t>
            </w:r>
          </w:p>
          <w:p>
            <w:pPr>
              <w:pStyle w:val="2"/>
              <w:jc w:val="center"/>
              <w:rPr>
                <w:rFonts w:ascii="Times New Roman" w:hAnsi="Times New Roman" w:eastAsia="宋体" w:cs="Times New Roman"/>
                <w:color w:val="auto"/>
                <w:lang w:val="en-US" w:eastAsia="en-US" w:bidi="ar-SA"/>
              </w:rPr>
            </w:pPr>
            <w:r>
              <w:rPr>
                <w:rFonts w:ascii="Times New Roman" w:hAnsi="Times New Roman" w:eastAsia="宋体" w:cs="Times New Roman"/>
                <w:color w:val="auto"/>
                <w:lang w:val="en-US" w:eastAsia="en-US" w:bidi="ar-SA"/>
              </w:rPr>
              <w:t>&lt;Unchanged parts are omitted&gt;</w:t>
            </w:r>
          </w:p>
          <w:p>
            <w:pPr>
              <w:pStyle w:val="2"/>
              <w:rPr>
                <w:rFonts w:hint="eastAsia" w:ascii="Times New Roman" w:hAnsi="Times New Roman" w:cs="Times New Roman"/>
                <w:color w:val="auto"/>
                <w:lang w:val="en-GB" w:eastAsia="en-US" w:bidi="ar-SA"/>
              </w:rPr>
            </w:pPr>
            <w:r>
              <w:rPr>
                <w:rFonts w:hint="eastAsia" w:ascii="Times New Roman" w:hAnsi="Times New Roman" w:cs="Times New Roman"/>
                <w:color w:val="auto"/>
                <w:lang w:val="en-US" w:eastAsia="zh-CN" w:bidi="ar-SA"/>
              </w:rPr>
              <w:t>8.3.3</w:t>
            </w:r>
            <w:r>
              <w:rPr>
                <w:rFonts w:hint="eastAsia" w:ascii="Times New Roman" w:hAnsi="Times New Roman" w:cs="Times New Roman"/>
                <w:color w:val="auto"/>
                <w:lang w:val="en-GB" w:eastAsia="en-US" w:bidi="ar-SA"/>
              </w:rPr>
              <w:tab/>
            </w:r>
            <w:r>
              <w:rPr>
                <w:rFonts w:hint="eastAsia" w:ascii="Times New Roman" w:hAnsi="Times New Roman" w:cs="Times New Roman"/>
                <w:color w:val="auto"/>
                <w:lang w:val="en-US" w:eastAsia="zh-CN" w:bidi="ar-SA"/>
              </w:rPr>
              <w:t>SCell Deactivation Delay Requirement for Activated SCell</w:t>
            </w:r>
          </w:p>
          <w:p>
            <w:pPr>
              <w:rPr>
                <w:lang w:eastAsia="en-GB"/>
              </w:rPr>
            </w:pPr>
            <w:r>
              <w:rPr>
                <w:lang w:eastAsia="en-GB"/>
              </w:rPr>
              <w:t xml:space="preserve">The requirements in this clause shall apply for the UE configured with </w:t>
            </w:r>
            <w:r>
              <w:rPr>
                <w:rFonts w:hint="eastAsia"/>
                <w:lang w:eastAsia="zh-CN"/>
              </w:rPr>
              <w:t xml:space="preserve">at least </w:t>
            </w:r>
            <w:r>
              <w:rPr>
                <w:lang w:eastAsia="en-GB"/>
              </w:rPr>
              <w:t xml:space="preserve">one downlink SCell </w:t>
            </w:r>
            <w:r>
              <w:rPr>
                <w:lang w:eastAsia="zh-CN"/>
              </w:rPr>
              <w:t xml:space="preserve">in EN-DC, or in standalone NR carrier aggregation or in NE-DC or in NR-DC and when one SCell is being </w:t>
            </w:r>
            <w:r>
              <w:rPr>
                <w:rFonts w:hint="eastAsia"/>
                <w:lang w:eastAsia="zh-CN"/>
              </w:rPr>
              <w:t>de</w:t>
            </w:r>
            <w:r>
              <w:rPr>
                <w:lang w:eastAsia="zh-CN"/>
              </w:rPr>
              <w:t>activated.</w:t>
            </w:r>
          </w:p>
          <w:p>
            <w:pPr>
              <w:rPr>
                <w:lang w:eastAsia="en-GB"/>
              </w:rPr>
            </w:pPr>
            <w:r>
              <w:rPr>
                <w:lang w:eastAsia="en-GB"/>
              </w:rPr>
              <w:t xml:space="preserve">Upon receiving SCell deactivation command in </w:t>
            </w:r>
            <w:r>
              <w:rPr>
                <w:lang w:eastAsia="zh-CN"/>
              </w:rPr>
              <w:t xml:space="preserve">slot </w:t>
            </w:r>
            <w:r>
              <w:rPr>
                <w:i/>
                <w:lang w:eastAsia="en-GB"/>
              </w:rPr>
              <w:t>n</w:t>
            </w:r>
            <w:r>
              <w:rPr>
                <w:lang w:eastAsia="en-GB"/>
              </w:rPr>
              <w:t xml:space="preserve">, the UE shall accomplish the </w:t>
            </w:r>
            <w:r>
              <w:rPr>
                <w:lang w:eastAsia="zh-CN"/>
              </w:rPr>
              <w:t>deactivation</w:t>
            </w:r>
            <w:r>
              <w:rPr>
                <w:lang w:eastAsia="en-GB"/>
              </w:rPr>
              <w:t xml:space="preserve"> actions for the SCell being deactivated no later than in slot </w:t>
            </w:r>
            <w:r>
              <w:rPr>
                <w:i/>
                <w:lang w:eastAsia="en-GB"/>
              </w:rPr>
              <w:t>n +</w:t>
            </w:r>
            <m:oMath>
              <m:r>
                <m:rP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HARQ</m:t>
                      </m:r>
                      <m:ctrlPr>
                        <w:rPr>
                          <w:rFonts w:ascii="Cambria Math" w:hAnsi="Cambria Math"/>
                          <w:i/>
                          <w:lang w:eastAsia="en-GB"/>
                        </w:rPr>
                      </m:ctrlPr>
                    </m:sub>
                  </m:sSub>
                  <m:r>
                    <m:rPr/>
                    <w:rPr>
                      <w:rFonts w:ascii="Cambria Math" w:hAnsi="Cambria Math"/>
                      <w:lang w:eastAsia="en-GB"/>
                    </w:rPr>
                    <m:t>+3ms</m:t>
                  </m:r>
                  <m:ctrlPr>
                    <w:rPr>
                      <w:rFonts w:ascii="Cambria Math" w:hAnsi="Cambria Math"/>
                      <w:i/>
                      <w:lang w:eastAsia="en-GB"/>
                    </w:rPr>
                  </m:ctrlPr>
                </m:num>
                <m:den>
                  <m:r>
                    <m:rPr/>
                    <w:rPr>
                      <w:rFonts w:ascii="Cambria Math" w:hAnsi="Cambria Math"/>
                      <w:lang w:eastAsia="en-GB"/>
                    </w:rPr>
                    <m:t>NR slot lengtℎ</m:t>
                  </m:r>
                  <m:ctrlPr>
                    <w:rPr>
                      <w:rFonts w:ascii="Cambria Math" w:hAnsi="Cambria Math"/>
                      <w:i/>
                      <w:lang w:eastAsia="en-GB"/>
                    </w:rPr>
                  </m:ctrlPr>
                </m:den>
              </m:f>
            </m:oMath>
            <w:r>
              <w:rPr>
                <w:lang w:eastAsia="zh-CN"/>
              </w:rPr>
              <w:t>.</w:t>
            </w:r>
            <w:r>
              <w:rPr>
                <w:lang w:eastAsia="en-GB"/>
              </w:rPr>
              <w:t xml:space="preserve"> </w:t>
            </w:r>
          </w:p>
          <w:p>
            <w:pPr>
              <w:rPr>
                <w:lang w:eastAsia="en-GB"/>
              </w:rPr>
            </w:pPr>
            <w:r>
              <w:rPr>
                <w:lang w:eastAsia="en-GB"/>
              </w:rPr>
              <w:t xml:space="preserve">For UE supporting LB-CA via switching and configured with </w:t>
            </w:r>
            <w:r>
              <w:rPr>
                <w:i/>
                <w:iCs/>
                <w:lang w:eastAsia="en-GB"/>
              </w:rPr>
              <w:t>LBCA-SwitchingPattern</w:t>
            </w:r>
            <w:r>
              <w:rPr>
                <w:lang w:eastAsia="en-GB"/>
              </w:rPr>
              <w:t xml:space="preserve">, when the SCell to be deactivated is an SDL SCell,  the UE shall deactivate the configured </w:t>
            </w:r>
            <w:r>
              <w:rPr>
                <w:i/>
                <w:iCs/>
                <w:lang w:eastAsia="en-GB"/>
              </w:rPr>
              <w:t>LBCA-SwitchingPattern</w:t>
            </w:r>
            <w:r>
              <w:rPr>
                <w:lang w:eastAsia="en-GB"/>
              </w:rPr>
              <w:t xml:space="preserve"> at slot </w:t>
            </w:r>
            <m:oMath>
              <m:r>
                <m:rP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m:rPr/>
                        <w:rPr>
                          <w:rFonts w:ascii="Cambria Math" w:hAnsi="Cambria Math"/>
                          <w:lang w:eastAsia="en-GB"/>
                        </w:rPr>
                        <m:t>T</m:t>
                      </m:r>
                      <m:ctrlPr>
                        <w:rPr>
                          <w:rFonts w:ascii="Cambria Math" w:hAnsi="Cambria Math"/>
                          <w:lang w:eastAsia="en-GB"/>
                        </w:rPr>
                      </m:ctrlPr>
                    </m:e>
                    <m:sub>
                      <m:r>
                        <m:rPr/>
                        <w:rPr>
                          <w:rFonts w:ascii="Cambria Math" w:hAnsi="Cambria Math"/>
                          <w:lang w:eastAsia="en-GB"/>
                        </w:rPr>
                        <m:t>RRC</m:t>
                      </m:r>
                      <m:r>
                        <m:rPr>
                          <m:sty m:val="p"/>
                        </m:rPr>
                        <w:rPr>
                          <w:rFonts w:ascii="Cambria Math" w:hAnsi="Cambria Math"/>
                          <w:lang w:eastAsia="en-GB"/>
                        </w:rPr>
                        <m:t>_</m:t>
                      </m:r>
                      <m:r>
                        <m:rPr/>
                        <w:rPr>
                          <w:rFonts w:ascii="Cambria Math" w:hAnsi="Cambria Math"/>
                          <w:lang w:eastAsia="en-GB"/>
                        </w:rPr>
                        <m:t>Process</m:t>
                      </m:r>
                      <m:ctrlPr>
                        <w:rPr>
                          <w:rFonts w:ascii="Cambria Math" w:hAnsi="Cambria Math"/>
                          <w:lang w:eastAsia="en-GB"/>
                        </w:rPr>
                      </m:ctrlPr>
                    </m:sub>
                  </m:sSub>
                  <m:r>
                    <m:rPr>
                      <m:sty m:val="p"/>
                    </m:rPr>
                    <w:rPr>
                      <w:rFonts w:ascii="Cambria Math" w:hAnsi="Cambria Math"/>
                      <w:lang w:eastAsia="en-GB"/>
                    </w:rPr>
                    <m:t>+</m:t>
                  </m:r>
                  <m:sSub>
                    <m:sSubPr>
                      <m:ctrlPr>
                        <w:rPr>
                          <w:rFonts w:ascii="Cambria Math" w:hAnsi="Cambria Math"/>
                          <w:lang w:eastAsia="en-GB"/>
                        </w:rPr>
                      </m:ctrlPr>
                    </m:sSubPr>
                    <m:e>
                      <m:r>
                        <m:rPr/>
                        <w:rPr>
                          <w:rFonts w:ascii="Cambria Math" w:hAnsi="Cambria Math"/>
                          <w:lang w:eastAsia="en-GB"/>
                        </w:rPr>
                        <m:t>T</m:t>
                      </m:r>
                      <m:ctrlPr>
                        <w:rPr>
                          <w:rFonts w:ascii="Cambria Math" w:hAnsi="Cambria Math"/>
                          <w:lang w:eastAsia="en-GB"/>
                        </w:rPr>
                      </m:ctrlPr>
                    </m:e>
                    <m:sub>
                      <m:r>
                        <m:rPr/>
                        <w:rPr>
                          <w:rFonts w:ascii="Cambria Math" w:hAnsi="Cambria Math"/>
                          <w:lang w:eastAsia="en-GB"/>
                        </w:rPr>
                        <m:t>LBCA</m:t>
                      </m:r>
                      <m:ctrlPr>
                        <w:rPr>
                          <w:rFonts w:ascii="Cambria Math" w:hAnsi="Cambria Math"/>
                          <w:lang w:eastAsia="en-GB"/>
                        </w:rPr>
                      </m:ctrlPr>
                    </m:sub>
                  </m:sSub>
                  <m:ctrlPr>
                    <w:rPr>
                      <w:rFonts w:ascii="Cambria Math" w:hAnsi="Cambria Math"/>
                      <w:lang w:eastAsia="en-GB"/>
                    </w:rPr>
                  </m:ctrlPr>
                </m:num>
                <m:den>
                  <m:r>
                    <m:rPr/>
                    <w:rPr>
                      <w:rFonts w:ascii="Cambria Math" w:hAnsi="Cambria Math"/>
                      <w:lang w:eastAsia="en-GB"/>
                    </w:rPr>
                    <m:t>NR</m:t>
                  </m:r>
                  <m:r>
                    <m:rPr>
                      <m:sty m:val="p"/>
                    </m:rPr>
                    <w:rPr>
                      <w:rFonts w:ascii="Cambria Math" w:hAnsi="Cambria Math"/>
                      <w:lang w:eastAsia="en-GB"/>
                    </w:rPr>
                    <m:t xml:space="preserve"> </m:t>
                  </m:r>
                  <m:r>
                    <m:rPr/>
                    <w:rPr>
                      <w:rFonts w:ascii="Cambria Math" w:hAnsi="Cambria Math"/>
                      <w:lang w:eastAsia="en-GB"/>
                    </w:rPr>
                    <m:t>slot</m:t>
                  </m:r>
                  <m:r>
                    <m:rPr>
                      <m:sty m:val="p"/>
                    </m:rPr>
                    <w:rPr>
                      <w:rFonts w:ascii="Cambria Math" w:hAnsi="Cambria Math"/>
                      <w:lang w:eastAsia="en-GB"/>
                    </w:rPr>
                    <m:t xml:space="preserve"> </m:t>
                  </m:r>
                  <m:r>
                    <m:rPr/>
                    <w:rPr>
                      <w:rFonts w:ascii="Cambria Math" w:hAnsi="Cambria Math"/>
                      <w:lang w:eastAsia="en-GB"/>
                    </w:rPr>
                    <m:t>lengtℎ</m:t>
                  </m:r>
                  <m:ctrlPr>
                    <w:rPr>
                      <w:rFonts w:ascii="Cambria Math" w:hAnsi="Cambria Math"/>
                      <w:lang w:eastAsia="en-GB"/>
                    </w:rPr>
                  </m:ctrlPr>
                </m:den>
              </m:f>
            </m:oMath>
            <w:r>
              <w:rPr>
                <w:lang w:eastAsia="en-GB"/>
              </w:rPr>
              <w:t>, where T</w:t>
            </w:r>
            <w:r>
              <w:rPr>
                <w:vertAlign w:val="subscript"/>
                <w:lang w:eastAsia="en-GB"/>
              </w:rPr>
              <w:t>LBCA</w:t>
            </w:r>
            <w:r>
              <w:rPr>
                <w:lang w:eastAsia="en-GB"/>
              </w:rPr>
              <w:t xml:space="preserve"> is the UE processing delay for deactivating the </w:t>
            </w:r>
            <w:r>
              <w:rPr>
                <w:i/>
                <w:iCs/>
                <w:lang w:eastAsia="en-GB"/>
              </w:rPr>
              <w:t>LBCA-SwitchingPattern</w:t>
            </w:r>
            <w:r>
              <w:rPr>
                <w:lang w:eastAsia="en-GB"/>
              </w:rPr>
              <w:t>.</w:t>
            </w:r>
          </w:p>
          <w:p>
            <w:pPr>
              <w:pStyle w:val="2"/>
              <w:jc w:val="center"/>
              <w:rPr>
                <w:rFonts w:ascii="Times New Roman" w:hAnsi="Times New Roman" w:eastAsia="宋体" w:cs="Times New Roman"/>
                <w:color w:val="auto"/>
                <w:lang w:val="en-US" w:eastAsia="en-US" w:bidi="ar-SA"/>
              </w:rPr>
            </w:pPr>
            <w:r>
              <w:rPr>
                <w:rFonts w:ascii="Times New Roman" w:hAnsi="Times New Roman" w:eastAsia="宋体" w:cs="Times New Roman"/>
                <w:color w:val="auto"/>
                <w:lang w:val="en-US" w:eastAsia="en-US" w:bidi="ar-SA"/>
              </w:rPr>
              <w:t>&lt;Unchanged parts are omitted&gt;</w:t>
            </w:r>
          </w:p>
          <w:p>
            <w:pPr>
              <w:pStyle w:val="2"/>
              <w:rPr>
                <w:rFonts w:hint="eastAsia" w:ascii="Times New Roman" w:hAnsi="Times New Roman" w:cs="Times New Roman"/>
                <w:color w:val="auto"/>
                <w:lang w:val="en-GB" w:eastAsia="en-US" w:bidi="ar-SA"/>
              </w:rPr>
            </w:pPr>
            <w:r>
              <w:rPr>
                <w:rFonts w:hint="eastAsia" w:ascii="Times New Roman" w:hAnsi="Times New Roman" w:cs="Times New Roman"/>
                <w:color w:val="auto"/>
                <w:lang w:val="en-US" w:eastAsia="zh-CN" w:bidi="ar-SA"/>
              </w:rPr>
              <w:t>8.3.4</w:t>
            </w:r>
            <w:r>
              <w:rPr>
                <w:rFonts w:hint="eastAsia" w:ascii="Times New Roman" w:hAnsi="Times New Roman" w:cs="Times New Roman"/>
                <w:color w:val="auto"/>
                <w:lang w:val="en-GB" w:eastAsia="en-US" w:bidi="ar-SA"/>
              </w:rPr>
              <w:tab/>
            </w:r>
            <w:r>
              <w:rPr>
                <w:rFonts w:hint="eastAsia" w:ascii="Times New Roman" w:hAnsi="Times New Roman" w:cs="Times New Roman"/>
                <w:color w:val="auto"/>
                <w:lang w:val="en-US" w:eastAsia="ko-KR" w:bidi="ar-SA"/>
              </w:rPr>
              <w:t>Direct SCell Activation at SCell addition</w:t>
            </w:r>
          </w:p>
          <w:p>
            <w:pPr>
              <w:rPr>
                <w:lang w:eastAsia="ko-KR"/>
              </w:rPr>
            </w:pPr>
            <w:r>
              <w:rPr>
                <w:lang w:eastAsia="ko-KR"/>
              </w:rPr>
              <w:t xml:space="preserve">The requirements in this clause apply for UE being configured in the RRC reconfiguration message, TS 38.331 [2], with one SCell for which the parameter </w:t>
            </w:r>
            <w:r>
              <w:rPr>
                <w:i/>
                <w:lang w:eastAsia="ko-KR"/>
              </w:rPr>
              <w:t>sCellState</w:t>
            </w:r>
            <w:r>
              <w:rPr>
                <w:lang w:eastAsia="ko-KR"/>
              </w:rPr>
              <w:t xml:space="preserve"> is set to </w:t>
            </w:r>
            <w:r>
              <w:rPr>
                <w:i/>
                <w:lang w:eastAsia="ko-KR"/>
              </w:rPr>
              <w:t>activated</w:t>
            </w:r>
            <w:r>
              <w:rPr>
                <w:lang w:eastAsia="ko-KR"/>
              </w:rPr>
              <w:t>. If the RRC reconfiguration message for direct SCell activation also configures PSCell addition or PSCell change, the direct SCell activation delay may be longer than the requirements defined in this clause.</w:t>
            </w:r>
          </w:p>
          <w:p>
            <w:r>
              <w:rPr>
                <w:iCs/>
              </w:rPr>
              <w:t xml:space="preserve">For the UE supporting LB-CA via switching and configured with LBCA-SwitchingPattern in FR1, when the SDL SCell reference signals to be measured for SCell activation are fully overlapped with the SDL SCell active periods based on the LBCA-SwitchingPattern, the following requirements apply for SDL SCell activation.  </w:t>
            </w:r>
          </w:p>
          <w:p>
            <w:pPr>
              <w:rPr>
                <w:lang w:eastAsia="ko-KR"/>
              </w:rPr>
            </w:pPr>
            <w:r>
              <w:rPr>
                <w:lang w:eastAsia="ko-KR"/>
              </w:rPr>
              <w:t xml:space="preserve">When the UE supporting LB-CA via switching is configured with </w:t>
            </w:r>
            <w:r>
              <w:rPr>
                <w:i/>
                <w:iCs/>
                <w:lang w:eastAsia="ko-KR"/>
              </w:rPr>
              <w:t>LBCA-SwitchingPattern</w:t>
            </w:r>
            <w:r>
              <w:rPr>
                <w:lang w:eastAsia="ko-KR"/>
              </w:rPr>
              <w:t xml:space="preserve"> and the SCell to be activated is an SDL SCell, the UE shall activate the configured </w:t>
            </w:r>
            <w:r>
              <w:rPr>
                <w:i/>
                <w:iCs/>
                <w:lang w:eastAsia="ko-KR"/>
              </w:rPr>
              <w:t>LBCA-SwitchingPattern</w:t>
            </w:r>
            <w:r>
              <w:rPr>
                <w:lang w:eastAsia="ko-KR"/>
              </w:rPr>
              <w:t xml:space="preserve"> at slot </w:t>
            </w:r>
            <m:oMath>
              <m:r>
                <m:rP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m:rPr/>
                        <w:rPr>
                          <w:rFonts w:ascii="Cambria Math" w:hAnsi="Cambria Math"/>
                          <w:lang w:eastAsia="ko-KR"/>
                        </w:rPr>
                        <m:t>T</m:t>
                      </m:r>
                      <m:ctrlPr>
                        <w:rPr>
                          <w:rFonts w:ascii="Cambria Math" w:hAnsi="Cambria Math"/>
                          <w:i/>
                          <w:lang w:eastAsia="ko-KR"/>
                        </w:rPr>
                      </m:ctrlPr>
                    </m:e>
                    <m:sub>
                      <m:r>
                        <m:rPr/>
                        <w:rPr>
                          <w:rFonts w:ascii="Cambria Math" w:hAnsi="Cambria Math"/>
                          <w:lang w:eastAsia="ko-KR"/>
                        </w:rPr>
                        <m:t>RRC_Process</m:t>
                      </m:r>
                      <m:ctrlPr>
                        <w:rPr>
                          <w:rFonts w:ascii="Cambria Math" w:hAnsi="Cambria Math"/>
                          <w:i/>
                          <w:lang w:eastAsia="ko-KR"/>
                        </w:rPr>
                      </m:ctrlPr>
                    </m:sub>
                  </m:sSub>
                  <m:r>
                    <m:rPr>
                      <m:sty m:val="p"/>
                    </m:rPr>
                    <w:rPr>
                      <w:rFonts w:ascii="Cambria Math" w:hAnsi="Cambria Math"/>
                      <w:lang w:eastAsia="ko-KR"/>
                    </w:rPr>
                    <m:t>+</m:t>
                  </m:r>
                  <m:sSub>
                    <m:sSubPr>
                      <m:ctrlPr>
                        <w:rPr>
                          <w:rFonts w:ascii="Cambria Math" w:hAnsi="Cambria Math"/>
                          <w:lang w:eastAsia="ko-KR"/>
                        </w:rPr>
                      </m:ctrlPr>
                    </m:sSubPr>
                    <m:e>
                      <m:r>
                        <m:rPr/>
                        <w:rPr>
                          <w:rFonts w:ascii="Cambria Math" w:hAnsi="Cambria Math"/>
                          <w:lang w:eastAsia="ko-KR"/>
                        </w:rPr>
                        <m:t>T</m:t>
                      </m:r>
                      <m:ctrlPr>
                        <w:rPr>
                          <w:rFonts w:ascii="Cambria Math" w:hAnsi="Cambria Math"/>
                          <w:lang w:eastAsia="ko-KR"/>
                        </w:rPr>
                      </m:ctrlPr>
                    </m:e>
                    <m:sub>
                      <m:r>
                        <m:rPr/>
                        <w:rPr>
                          <w:rFonts w:ascii="Cambria Math" w:hAnsi="Cambria Math"/>
                          <w:lang w:eastAsia="ko-KR"/>
                        </w:rPr>
                        <m:t>LBCA</m:t>
                      </m:r>
                      <m:ctrlPr>
                        <w:rPr>
                          <w:rFonts w:ascii="Cambria Math" w:hAnsi="Cambria Math"/>
                          <w:lang w:eastAsia="ko-KR"/>
                        </w:rPr>
                      </m:ctrlPr>
                    </m:sub>
                  </m:sSub>
                  <m:ctrlPr>
                    <w:rPr>
                      <w:rFonts w:ascii="Cambria Math" w:hAnsi="Cambria Math"/>
                      <w:lang w:eastAsia="ko-KR"/>
                    </w:rPr>
                  </m:ctrlPr>
                </m:num>
                <m:den>
                  <m:r>
                    <m:rPr/>
                    <w:rPr>
                      <w:rFonts w:ascii="Cambria Math" w:hAnsi="Cambria Math"/>
                      <w:lang w:eastAsia="ko-KR"/>
                    </w:rPr>
                    <m:t>NR</m:t>
                  </m:r>
                  <m:r>
                    <m:rPr>
                      <m:sty m:val="p"/>
                    </m:rPr>
                    <w:rPr>
                      <w:rFonts w:ascii="Cambria Math" w:hAnsi="Cambria Math"/>
                      <w:lang w:eastAsia="ko-KR"/>
                    </w:rPr>
                    <m:t xml:space="preserve"> </m:t>
                  </m:r>
                  <m:r>
                    <m:rPr/>
                    <w:rPr>
                      <w:rFonts w:ascii="Cambria Math" w:hAnsi="Cambria Math"/>
                      <w:lang w:eastAsia="ko-KR"/>
                    </w:rPr>
                    <m:t>slot</m:t>
                  </m:r>
                  <m:r>
                    <m:rPr>
                      <m:sty m:val="p"/>
                    </m:rPr>
                    <w:rPr>
                      <w:rFonts w:ascii="Cambria Math" w:hAnsi="Cambria Math"/>
                      <w:lang w:eastAsia="ko-KR"/>
                    </w:rPr>
                    <m:t xml:space="preserve"> </m:t>
                  </m:r>
                  <m:r>
                    <m:rPr/>
                    <w:rPr>
                      <w:rFonts w:ascii="Cambria Math" w:hAnsi="Cambria Math"/>
                      <w:lang w:eastAsia="ko-KR"/>
                    </w:rPr>
                    <m:t>lengtℎ</m:t>
                  </m:r>
                  <m:ctrlPr>
                    <w:rPr>
                      <w:rFonts w:ascii="Cambria Math" w:hAnsi="Cambria Math"/>
                      <w:lang w:eastAsia="ko-KR"/>
                    </w:rPr>
                  </m:ctrlPr>
                </m:den>
              </m:f>
            </m:oMath>
            <w:r>
              <w:rPr>
                <w:lang w:eastAsia="ko-KR"/>
              </w:rPr>
              <w:t>, where T</w:t>
            </w:r>
            <w:r>
              <w:rPr>
                <w:vertAlign w:val="subscript"/>
                <w:lang w:eastAsia="ko-KR"/>
              </w:rPr>
              <w:t>LBCA</w:t>
            </w:r>
            <w:r>
              <w:rPr>
                <w:lang w:eastAsia="ko-KR"/>
              </w:rPr>
              <w:t xml:space="preserve"> is the UE processing delay for activating the </w:t>
            </w:r>
            <w:r>
              <w:rPr>
                <w:i/>
                <w:lang w:eastAsia="ko-KR"/>
              </w:rPr>
              <w:t>LBCA-SwitchingPattern</w:t>
            </w:r>
            <w:r>
              <w:rPr>
                <w:lang w:eastAsia="ko-KR"/>
              </w:rPr>
              <w:t>.</w:t>
            </w:r>
          </w:p>
          <w:p>
            <w:pPr>
              <w:pStyle w:val="2"/>
              <w:jc w:val="center"/>
              <w:rPr>
                <w:rFonts w:hint="eastAsia"/>
                <w:vertAlign w:val="baseline"/>
                <w:lang w:val="en-US" w:eastAsia="zh-CN"/>
              </w:rPr>
            </w:pPr>
            <w:r>
              <w:rPr>
                <w:rFonts w:ascii="Times New Roman" w:hAnsi="Times New Roman" w:eastAsia="宋体" w:cs="Times New Roman"/>
                <w:color w:val="auto"/>
                <w:lang w:val="en-US" w:eastAsia="en-US" w:bidi="ar-SA"/>
              </w:rPr>
              <w:t>&lt;Unchanged parts are omitted&gt;</w:t>
            </w:r>
          </w:p>
        </w:tc>
      </w:tr>
    </w:tbl>
    <w:p>
      <w:pPr>
        <w:spacing w:before="120" w:beforeLines="50"/>
        <w:rPr>
          <w:rFonts w:hint="eastAsia" w:cs="Times New Roman"/>
          <w:lang w:val="en-US" w:eastAsia="zh-CN"/>
        </w:rPr>
      </w:pPr>
      <w:r>
        <w:rPr>
          <w:rFonts w:hint="eastAsia" w:cs="Times New Roman"/>
          <w:lang w:val="en-US" w:eastAsia="zh-CN"/>
        </w:rPr>
        <w:t xml:space="preserve">As a result, it is enough to say that the switching pattern can be provided to a UE when the SCell is configured from RAN1 perspective. The applicability of  the switching pattern has been defined in RAN4 spec (TS38.133). </w:t>
      </w:r>
    </w:p>
    <w:p>
      <w:pPr>
        <w:spacing w:before="120" w:beforeLines="50"/>
        <w:rPr>
          <w:rFonts w:hint="default" w:cs="Times New Roman"/>
          <w:lang w:val="en-US" w:eastAsia="zh-CN"/>
        </w:rPr>
      </w:pPr>
      <w:r>
        <w:rPr>
          <w:rFonts w:hint="eastAsia" w:cs="Times New Roman"/>
          <w:b/>
          <w:bCs/>
          <w:i/>
          <w:iCs/>
          <w:lang w:val="en-US" w:eastAsia="zh-CN"/>
        </w:rPr>
        <w:t>Observation 2</w:t>
      </w:r>
      <w:r>
        <w:rPr>
          <w:rFonts w:hint="eastAsia" w:cs="Times New Roman"/>
          <w:i/>
          <w:iCs/>
          <w:lang w:val="en-US" w:eastAsia="zh-CN"/>
        </w:rPr>
        <w:t>: The applicability of the switching pattern has been defined in TS38.133. RAN1 does not need to capture when the switching pattern is applicable.</w:t>
      </w:r>
    </w:p>
    <w:p>
      <w:pPr>
        <w:spacing w:before="120" w:beforeLines="50"/>
        <w:rPr>
          <w:rFonts w:hint="eastAsia" w:ascii="Times New Roman" w:hAnsi="Times New Roman" w:eastAsia="宋体" w:cs="Times New Roman"/>
          <w:i/>
          <w:iCs/>
          <w:color w:val="auto"/>
          <w:lang w:val="en-US" w:eastAsia="zh-CN"/>
        </w:rPr>
      </w:pPr>
      <w:r>
        <w:rPr>
          <w:rFonts w:hint="eastAsia" w:cs="Times New Roman"/>
          <w:b/>
          <w:bCs/>
          <w:i/>
          <w:iCs/>
          <w:lang w:val="en-US" w:eastAsia="zh-CN"/>
        </w:rPr>
        <w:t>Proposal 1</w:t>
      </w:r>
      <w:r>
        <w:rPr>
          <w:rFonts w:hint="eastAsia" w:cs="Times New Roman"/>
          <w:i/>
          <w:iCs/>
          <w:lang w:val="en-US" w:eastAsia="zh-CN"/>
        </w:rPr>
        <w:t xml:space="preserve">: </w:t>
      </w:r>
      <w:r>
        <w:rPr>
          <w:rFonts w:hint="eastAsia" w:cs="Times New Roman"/>
          <w:i/>
          <w:iCs/>
          <w:color w:val="auto"/>
          <w:lang w:val="en-US" w:eastAsia="zh-CN"/>
        </w:rPr>
        <w:t xml:space="preserve">Adopt </w:t>
      </w:r>
      <w:r>
        <w:rPr>
          <w:rFonts w:hint="eastAsia" w:ascii="Times New Roman" w:hAnsi="Times New Roman" w:eastAsia="宋体" w:cs="Times New Roman"/>
          <w:i/>
          <w:iCs/>
          <w:color w:val="auto"/>
          <w:lang w:val="en-US" w:eastAsia="zh-CN"/>
        </w:rPr>
        <w:t xml:space="preserve">the following </w:t>
      </w:r>
      <w:r>
        <w:rPr>
          <w:rFonts w:hint="eastAsia" w:cs="Times New Roman"/>
          <w:i/>
          <w:iCs/>
          <w:color w:val="auto"/>
          <w:lang w:val="en-US" w:eastAsia="zh-CN"/>
        </w:rPr>
        <w:t>TP for clause 24 in TS38.213 to make spec correct and avoid duplication with TS38.133</w:t>
      </w:r>
      <w:r>
        <w:rPr>
          <w:rFonts w:hint="eastAsia" w:ascii="Times New Roman" w:hAnsi="Times New Roman" w:eastAsia="宋体" w:cs="Times New Roman"/>
          <w:i/>
          <w:iCs/>
          <w:color w:val="auto"/>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rFonts w:hint="default"/>
                <w:i w:val="0"/>
                <w:iCs w:val="0"/>
                <w:lang w:val="en-US" w:eastAsia="zh-CN"/>
              </w:rPr>
            </w:pPr>
            <w:r>
              <w:rPr>
                <w:b/>
                <w:bCs/>
              </w:rPr>
              <w:t>Reason for change</w:t>
            </w:r>
            <w:r>
              <w:t xml:space="preserve">: </w:t>
            </w:r>
            <w:r>
              <w:rPr>
                <w:i w:val="0"/>
                <w:iCs w:val="0"/>
                <w:sz w:val="20"/>
                <w:szCs w:val="20"/>
              </w:rPr>
              <w:t>For Rel-19 low NR band carrier aggregation via switching</w:t>
            </w:r>
            <w:r>
              <w:rPr>
                <w:rFonts w:eastAsiaTheme="minorEastAsia"/>
                <w:i w:val="0"/>
                <w:iCs w:val="0"/>
                <w:sz w:val="20"/>
                <w:szCs w:val="20"/>
              </w:rPr>
              <w:t>,</w:t>
            </w:r>
            <w:r>
              <w:rPr>
                <w:rFonts w:hint="eastAsia"/>
                <w:bCs/>
                <w:i w:val="0"/>
                <w:iCs w:val="0"/>
                <w:lang w:val="en-US" w:eastAsia="zh-CN"/>
              </w:rPr>
              <w:t xml:space="preserve"> </w:t>
            </w:r>
            <w:r>
              <w:rPr>
                <w:rFonts w:hint="eastAsia"/>
                <w:i w:val="0"/>
                <w:iCs w:val="0"/>
                <w:lang w:val="en-US" w:eastAsia="zh-CN"/>
              </w:rPr>
              <w:t>the switching pattern is applied when the SCell is activated and in activation procedure</w:t>
            </w:r>
            <w:r>
              <w:rPr>
                <w:rFonts w:hint="eastAsia"/>
                <w:i w:val="0"/>
                <w:iCs w:val="0"/>
                <w:lang w:val="en-US" w:eastAsia="zh-CN"/>
              </w:rPr>
              <w:t xml:space="preserve">. While only the condition of </w:t>
            </w:r>
            <w:r>
              <w:rPr>
                <w:rFonts w:hint="default"/>
                <w:i w:val="0"/>
                <w:iCs w:val="0"/>
                <w:lang w:val="en-US" w:eastAsia="zh-CN"/>
              </w:rPr>
              <w:t>“</w:t>
            </w:r>
            <w:r>
              <w:rPr>
                <w:rFonts w:hint="eastAsia"/>
                <w:i w:val="0"/>
                <w:iCs w:val="0"/>
                <w:lang w:val="en-US" w:eastAsia="zh-CN"/>
              </w:rPr>
              <w:t>the SCell is activated</w:t>
            </w:r>
            <w:r>
              <w:rPr>
                <w:rFonts w:hint="default"/>
                <w:i w:val="0"/>
                <w:iCs w:val="0"/>
                <w:lang w:val="en-US" w:eastAsia="zh-CN"/>
              </w:rPr>
              <w:t>”</w:t>
            </w:r>
            <w:r>
              <w:rPr>
                <w:rFonts w:hint="eastAsia"/>
                <w:i w:val="0"/>
                <w:iCs w:val="0"/>
                <w:lang w:val="en-US" w:eastAsia="zh-CN"/>
              </w:rPr>
              <w:t xml:space="preserve"> is captured in RAN1 spec. </w:t>
            </w:r>
            <w:r>
              <w:rPr>
                <w:rFonts w:hint="eastAsia" w:cs="Times New Roman"/>
                <w:lang w:val="en-US" w:eastAsia="zh-CN"/>
              </w:rPr>
              <w:t xml:space="preserve">It is enough to say that the switching pattern can be provided to a UE when the SCell is configured from RAN1 perspective. Because the applicability of the switching pattern has been defined in </w:t>
            </w:r>
            <w:r>
              <w:rPr>
                <w:rFonts w:hint="eastAsia"/>
                <w:i w:val="0"/>
                <w:iCs w:val="0"/>
                <w:lang w:val="en-US" w:eastAsia="zh-CN"/>
              </w:rPr>
              <w:t xml:space="preserve">TS38.133. RAN1 does not need to capture when the switching pattern is applicable. </w:t>
            </w:r>
          </w:p>
          <w:p>
            <w:pPr>
              <w:rPr>
                <w:lang w:val="en-US" w:eastAsia="zh-CN"/>
              </w:rPr>
            </w:pPr>
            <w:r>
              <w:rPr>
                <w:b/>
                <w:bCs/>
              </w:rPr>
              <w:t>Summary of change</w:t>
            </w:r>
            <w:r>
              <w:t xml:space="preserve">: </w:t>
            </w:r>
            <w:r>
              <w:rPr>
                <w:rFonts w:hint="eastAsia"/>
                <w:lang w:val="en-US" w:eastAsia="zh-CN"/>
              </w:rPr>
              <w:t>Update the switching pattern can be provided to a UE when the SCell is configured</w:t>
            </w:r>
            <w:r>
              <w:rPr>
                <w:rFonts w:hint="eastAsia"/>
                <w:bCs/>
                <w:lang w:val="en-US" w:eastAsia="zh-CN"/>
              </w:rPr>
              <w:t>.</w:t>
            </w:r>
          </w:p>
          <w:p>
            <w:pPr>
              <w:rPr>
                <w:color w:val="000000"/>
                <w:kern w:val="2"/>
                <w:lang w:val="en-US" w:eastAsia="zh-CN"/>
              </w:rPr>
            </w:pPr>
            <w:r>
              <w:rPr>
                <w:b/>
                <w:bCs/>
              </w:rPr>
              <w:t>Consequences if not approved</w:t>
            </w:r>
            <w:r>
              <w:t xml:space="preserve">: </w:t>
            </w:r>
            <w:r>
              <w:rPr>
                <w:rFonts w:hint="eastAsia"/>
                <w:lang w:val="en-US" w:eastAsia="zh-CN"/>
              </w:rPr>
              <w:t xml:space="preserve">RAN1 spec is not correct based on the RAN4 agreement. </w:t>
            </w:r>
            <w:r>
              <w:rPr>
                <w:rFonts w:hint="eastAsia"/>
                <w:color w:val="000000"/>
                <w:kern w:val="2"/>
                <w:lang w:val="en-US" w:eastAsia="zh-CN"/>
              </w:rPr>
              <w:t xml:space="preserve"> </w:t>
            </w:r>
          </w:p>
          <w:p>
            <w:pPr>
              <w:rPr>
                <w:color w:val="000000"/>
                <w:kern w:val="2"/>
                <w:lang w:val="en-US" w:eastAsia="zh-CN"/>
              </w:rPr>
            </w:pPr>
            <w:r>
              <w:rPr>
                <w:rFonts w:eastAsiaTheme="minorEastAsia"/>
                <w:iCs/>
                <w:sz w:val="20"/>
                <w:szCs w:val="20"/>
              </w:rPr>
              <w:t>24</w:t>
            </w:r>
            <w:r>
              <w:rPr>
                <w:rFonts w:eastAsiaTheme="minorEastAsia"/>
                <w:iCs/>
                <w:sz w:val="20"/>
                <w:szCs w:val="20"/>
              </w:rPr>
              <w:tab/>
            </w:r>
            <w:r>
              <w:rPr>
                <w:rFonts w:eastAsiaTheme="minorEastAsia"/>
                <w:iCs/>
                <w:sz w:val="20"/>
                <w:szCs w:val="20"/>
              </w:rPr>
              <w:t>Downlink carrier aggregation via switching</w:t>
            </w:r>
          </w:p>
          <w:p>
            <w:pPr>
              <w:rPr>
                <w:lang w:eastAsia="zh-CN"/>
              </w:rPr>
            </w:pPr>
            <w:r>
              <w:rPr>
                <w:lang w:eastAsia="zh-CN"/>
              </w:rPr>
              <w:t xml:space="preserve">A UE that can switch operation between a PCell, that includes a DL carrier and a paired UL carrier, and an SCell, that includes a DL carrier without a paired UL carrier, can be provided by </w:t>
            </w:r>
            <w:r>
              <w:rPr>
                <w:i/>
                <w:strike w:val="0"/>
                <w:dstrike w:val="0"/>
                <w:color w:val="auto"/>
                <w:lang w:eastAsia="zh-CN"/>
              </w:rPr>
              <w:t>LBCA-SwitchingPattern</w:t>
            </w:r>
            <w:r>
              <w:rPr>
                <w:lang w:eastAsia="zh-CN"/>
              </w:rPr>
              <w:t xml:space="preserve"> a bitmap of slots indicating a switching pattern between the PCell and the SCell when the SCell is </w:t>
            </w:r>
            <w:r>
              <w:rPr>
                <w:strike/>
                <w:dstrike w:val="0"/>
                <w:color w:val="FF0000"/>
                <w:lang w:eastAsia="zh-CN"/>
              </w:rPr>
              <w:t>activated</w:t>
            </w:r>
            <w:r>
              <w:rPr>
                <w:rFonts w:hint="eastAsia"/>
                <w:color w:val="FF0000"/>
                <w:u w:val="single"/>
                <w:lang w:val="en-US" w:eastAsia="zh-CN"/>
              </w:rPr>
              <w:t>configured</w:t>
            </w:r>
            <w:r>
              <w:rPr>
                <w:lang w:eastAsia="zh-CN"/>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rPr>
              <w:t>The first slot of the bitmap is same as the first slot of a system frame with SFN 0 on the PCell. The SCS for all configured DL BWPs or UL BWPs on both the PCell and the SCell is 15 kHz and the periodicity of the switching pattern is 40 slots.</w:t>
            </w:r>
          </w:p>
          <w:p>
            <w:pPr>
              <w:jc w:val="center"/>
              <w:rPr>
                <w:lang w:val="en-US" w:eastAsia="zh-CN"/>
              </w:rPr>
            </w:pPr>
            <w:r>
              <w:t>&lt;Unchanged parts are omitted&gt;</w:t>
            </w:r>
          </w:p>
        </w:tc>
      </w:tr>
    </w:tbl>
    <w:p>
      <w:pPr>
        <w:spacing w:before="120" w:beforeLines="50"/>
        <w:rPr>
          <w:rFonts w:hint="default" w:ascii="Times New Roman" w:hAnsi="Times New Roman" w:cs="Times New Roman"/>
          <w:lang w:val="en-US"/>
        </w:rPr>
      </w:pPr>
      <w:r>
        <w:rPr>
          <w:rFonts w:hint="eastAsia"/>
          <w:i w:val="0"/>
          <w:iCs/>
          <w:lang w:val="en-US" w:eastAsia="zh-CN"/>
        </w:rPr>
        <w:t>For the action of the LS, it seems no need to reply the LS because</w:t>
      </w:r>
      <w:r>
        <w:rPr>
          <w:rFonts w:hint="default" w:ascii="Times New Roman" w:hAnsi="Times New Roman" w:cs="Times New Roman"/>
          <w:lang w:val="en-US"/>
        </w:rPr>
        <w:t xml:space="preserve"> RAN1 </w:t>
      </w:r>
      <w:r>
        <w:rPr>
          <w:rFonts w:hint="eastAsia" w:cs="Times New Roman"/>
          <w:lang w:val="en-US" w:eastAsia="zh-CN"/>
        </w:rPr>
        <w:t>has</w:t>
      </w:r>
      <w:r>
        <w:rPr>
          <w:rFonts w:hint="default" w:ascii="Times New Roman" w:hAnsi="Times New Roman" w:cs="Times New Roman"/>
          <w:lang w:val="en-US"/>
        </w:rPr>
        <w:t xml:space="preserve"> take</w:t>
      </w:r>
      <w:r>
        <w:rPr>
          <w:rFonts w:hint="eastAsia" w:cs="Times New Roman"/>
          <w:lang w:val="en-US" w:eastAsia="zh-CN"/>
        </w:rPr>
        <w:t>n</w:t>
      </w:r>
      <w:r>
        <w:rPr>
          <w:rFonts w:hint="default" w:ascii="Times New Roman" w:hAnsi="Times New Roman" w:cs="Times New Roman"/>
          <w:lang w:val="en-US"/>
        </w:rPr>
        <w:t xml:space="preserve"> the above into account </w:t>
      </w:r>
      <w:r>
        <w:rPr>
          <w:rFonts w:hint="eastAsia" w:cs="Times New Roman"/>
          <w:lang w:val="en-US" w:eastAsia="zh-CN"/>
        </w:rPr>
        <w:t>and no need to double check with RAN4</w:t>
      </w:r>
      <w:r>
        <w:rPr>
          <w:rFonts w:hint="default" w:ascii="Times New Roman" w:hAnsi="Times New Roman" w:cs="Times New Roman"/>
          <w:lang w:val="en-US"/>
        </w:rPr>
        <w:t>.</w:t>
      </w:r>
    </w:p>
    <w:p>
      <w:pPr>
        <w:spacing w:before="120" w:beforeLines="50"/>
        <w:rPr>
          <w:rFonts w:hint="default"/>
          <w:lang w:val="en-US" w:eastAsia="zh-CN"/>
        </w:rPr>
      </w:pPr>
      <w:r>
        <w:rPr>
          <w:rFonts w:hint="eastAsia" w:cs="Times New Roman"/>
          <w:b/>
          <w:bCs/>
          <w:i/>
          <w:iCs/>
          <w:lang w:val="en-US" w:eastAsia="zh-CN"/>
        </w:rPr>
        <w:t>Proposal 2</w:t>
      </w:r>
      <w:r>
        <w:rPr>
          <w:rFonts w:hint="eastAsia" w:cs="Times New Roman"/>
          <w:i/>
          <w:iCs/>
          <w:lang w:val="en-US" w:eastAsia="zh-CN"/>
        </w:rPr>
        <w:t>: It is preferred not to reply the LS because RAN1 has taken the LS into account and no need to double check with RAN4</w:t>
      </w:r>
      <w:r>
        <w:rPr>
          <w:rFonts w:hint="eastAsia" w:ascii="Times New Roman" w:hAnsi="Times New Roman" w:eastAsia="宋体" w:cs="Times New Roman"/>
          <w:i/>
          <w:iCs/>
          <w:color w:val="auto"/>
          <w:lang w:val="en-US" w:eastAsia="zh-CN"/>
        </w:rPr>
        <w:t>.</w:t>
      </w:r>
    </w:p>
    <w:p>
      <w:pPr>
        <w:pStyle w:val="4"/>
      </w:pPr>
      <w:r>
        <w:t>Conclusion</w:t>
      </w:r>
    </w:p>
    <w:p>
      <w:r>
        <w:rPr>
          <w:rFonts w:hint="eastAsia" w:ascii="Times New Roman" w:hAnsi="Times New Roman" w:cs="Times New Roman"/>
          <w:lang w:val="en-US" w:eastAsia="zh-CN"/>
        </w:rPr>
        <w:t>In this contribution, the</w:t>
      </w:r>
      <w:r>
        <w:rPr>
          <w:rFonts w:hint="eastAsia" w:cs="Times New Roman"/>
          <w:lang w:val="en-US" w:eastAsia="zh-CN"/>
        </w:rPr>
        <w:t xml:space="preserve"> observations and</w:t>
      </w:r>
      <w:r>
        <w:rPr>
          <w:rFonts w:hint="eastAsia" w:ascii="Times New Roman" w:hAnsi="Times New Roman" w:cs="Times New Roman"/>
          <w:lang w:val="en-US" w:eastAsia="zh-CN"/>
        </w:rPr>
        <w:t xml:space="preserve"> proposals are summarized as follows:</w:t>
      </w:r>
    </w:p>
    <w:p>
      <w:pPr>
        <w:spacing w:before="120" w:beforeLines="50"/>
        <w:rPr>
          <w:rFonts w:hint="default"/>
          <w:i/>
          <w:iCs/>
          <w:lang w:val="en-US" w:eastAsia="zh-CN"/>
        </w:rPr>
      </w:pPr>
      <w:r>
        <w:rPr>
          <w:rFonts w:hint="eastAsia" w:cs="Times New Roman"/>
          <w:b/>
          <w:bCs/>
          <w:i/>
          <w:iCs/>
          <w:lang w:val="en-US" w:eastAsia="zh-CN"/>
        </w:rPr>
        <w:t>Observation 1</w:t>
      </w:r>
      <w:r>
        <w:rPr>
          <w:rFonts w:hint="eastAsia" w:cs="Times New Roman"/>
          <w:i/>
          <w:iCs/>
          <w:lang w:val="en-US" w:eastAsia="zh-CN"/>
        </w:rPr>
        <w:t>: The switching pattern is applied when the SCell is activated and in activation procedure.</w:t>
      </w:r>
    </w:p>
    <w:p>
      <w:pPr>
        <w:spacing w:before="120" w:beforeLines="50"/>
        <w:rPr>
          <w:rFonts w:hint="default" w:cs="Times New Roman"/>
          <w:lang w:val="en-US" w:eastAsia="zh-CN"/>
        </w:rPr>
      </w:pPr>
      <w:r>
        <w:rPr>
          <w:rFonts w:hint="eastAsia" w:cs="Times New Roman"/>
          <w:b/>
          <w:bCs/>
          <w:i/>
          <w:iCs/>
          <w:lang w:val="en-US" w:eastAsia="zh-CN"/>
        </w:rPr>
        <w:t>Observation 2</w:t>
      </w:r>
      <w:r>
        <w:rPr>
          <w:rFonts w:hint="eastAsia" w:cs="Times New Roman"/>
          <w:i/>
          <w:iCs/>
          <w:lang w:val="en-US" w:eastAsia="zh-CN"/>
        </w:rPr>
        <w:t>: The applicability of the switching pattern has been defined in TS38.133. RAN1 does not need to capture when the switching pattern is applicable.</w:t>
      </w:r>
    </w:p>
    <w:p>
      <w:pPr>
        <w:spacing w:before="120" w:beforeLines="50"/>
        <w:rPr>
          <w:rFonts w:hint="eastAsia" w:ascii="Times New Roman" w:hAnsi="Times New Roman" w:eastAsia="宋体" w:cs="Times New Roman"/>
          <w:i/>
          <w:iCs/>
          <w:color w:val="auto"/>
          <w:lang w:val="en-US" w:eastAsia="zh-CN"/>
        </w:rPr>
      </w:pPr>
      <w:r>
        <w:rPr>
          <w:rFonts w:hint="eastAsia" w:cs="Times New Roman"/>
          <w:b/>
          <w:bCs/>
          <w:i/>
          <w:iCs/>
          <w:lang w:val="en-US" w:eastAsia="zh-CN"/>
        </w:rPr>
        <w:t>Proposal 1</w:t>
      </w:r>
      <w:r>
        <w:rPr>
          <w:rFonts w:hint="eastAsia" w:cs="Times New Roman"/>
          <w:i/>
          <w:iCs/>
          <w:lang w:val="en-US" w:eastAsia="zh-CN"/>
        </w:rPr>
        <w:t xml:space="preserve">: </w:t>
      </w:r>
      <w:r>
        <w:rPr>
          <w:rFonts w:hint="eastAsia" w:cs="Times New Roman"/>
          <w:i/>
          <w:iCs/>
          <w:color w:val="auto"/>
          <w:lang w:val="en-US" w:eastAsia="zh-CN"/>
        </w:rPr>
        <w:t xml:space="preserve">Adopt </w:t>
      </w:r>
      <w:r>
        <w:rPr>
          <w:rFonts w:hint="eastAsia" w:ascii="Times New Roman" w:hAnsi="Times New Roman" w:eastAsia="宋体" w:cs="Times New Roman"/>
          <w:i/>
          <w:iCs/>
          <w:color w:val="auto"/>
          <w:lang w:val="en-US" w:eastAsia="zh-CN"/>
        </w:rPr>
        <w:t xml:space="preserve">the following </w:t>
      </w:r>
      <w:r>
        <w:rPr>
          <w:rFonts w:hint="eastAsia" w:cs="Times New Roman"/>
          <w:i/>
          <w:iCs/>
          <w:color w:val="auto"/>
          <w:lang w:val="en-US" w:eastAsia="zh-CN"/>
        </w:rPr>
        <w:t>TP for clause 24 in TS38.213 to make spec correct and avoid duplication with TS38.133</w:t>
      </w:r>
      <w:r>
        <w:rPr>
          <w:rFonts w:hint="eastAsia" w:ascii="Times New Roman" w:hAnsi="Times New Roman" w:eastAsia="宋体" w:cs="Times New Roman"/>
          <w:i/>
          <w:iCs/>
          <w:color w:val="auto"/>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hint="default"/>
                <w:i w:val="0"/>
                <w:iCs w:val="0"/>
                <w:lang w:val="en-US" w:eastAsia="zh-CN"/>
              </w:rPr>
            </w:pPr>
            <w:r>
              <w:rPr>
                <w:b/>
                <w:bCs/>
              </w:rPr>
              <w:t>Reason for change</w:t>
            </w:r>
            <w:r>
              <w:t xml:space="preserve">: </w:t>
            </w:r>
            <w:r>
              <w:rPr>
                <w:i w:val="0"/>
                <w:iCs w:val="0"/>
                <w:sz w:val="20"/>
                <w:szCs w:val="20"/>
              </w:rPr>
              <w:t>For Rel-19 low NR band carrier aggregation via switching</w:t>
            </w:r>
            <w:r>
              <w:rPr>
                <w:rFonts w:eastAsiaTheme="minorEastAsia"/>
                <w:i w:val="0"/>
                <w:iCs w:val="0"/>
                <w:sz w:val="20"/>
                <w:szCs w:val="20"/>
              </w:rPr>
              <w:t>,</w:t>
            </w:r>
            <w:r>
              <w:rPr>
                <w:rFonts w:hint="eastAsia"/>
                <w:bCs/>
                <w:i w:val="0"/>
                <w:iCs w:val="0"/>
                <w:lang w:val="en-US" w:eastAsia="zh-CN"/>
              </w:rPr>
              <w:t xml:space="preserve"> </w:t>
            </w:r>
            <w:r>
              <w:rPr>
                <w:rFonts w:hint="eastAsia"/>
                <w:i w:val="0"/>
                <w:iCs w:val="0"/>
                <w:lang w:val="en-US" w:eastAsia="zh-CN"/>
              </w:rPr>
              <w:t xml:space="preserve">the switching pattern is applied when the SCell is activated and in activation procedure. While only the condition of </w:t>
            </w:r>
            <w:r>
              <w:rPr>
                <w:rFonts w:hint="default"/>
                <w:i w:val="0"/>
                <w:iCs w:val="0"/>
                <w:lang w:val="en-US" w:eastAsia="zh-CN"/>
              </w:rPr>
              <w:t>“</w:t>
            </w:r>
            <w:r>
              <w:rPr>
                <w:rFonts w:hint="eastAsia"/>
                <w:i w:val="0"/>
                <w:iCs w:val="0"/>
                <w:lang w:val="en-US" w:eastAsia="zh-CN"/>
              </w:rPr>
              <w:t>the SCell is activated</w:t>
            </w:r>
            <w:r>
              <w:rPr>
                <w:rFonts w:hint="default"/>
                <w:i w:val="0"/>
                <w:iCs w:val="0"/>
                <w:lang w:val="en-US" w:eastAsia="zh-CN"/>
              </w:rPr>
              <w:t>”</w:t>
            </w:r>
            <w:r>
              <w:rPr>
                <w:rFonts w:hint="eastAsia"/>
                <w:i w:val="0"/>
                <w:iCs w:val="0"/>
                <w:lang w:val="en-US" w:eastAsia="zh-CN"/>
              </w:rPr>
              <w:t xml:space="preserve"> is captured in RAN1 spec. </w:t>
            </w:r>
            <w:r>
              <w:rPr>
                <w:rFonts w:hint="eastAsia" w:cs="Times New Roman"/>
                <w:lang w:val="en-US" w:eastAsia="zh-CN"/>
              </w:rPr>
              <w:t xml:space="preserve">It is enough to say that the switching pattern can be provided to a UE when the SCell is configured from RAN1 perspective. Because the applicability of the switching pattern has been defined in </w:t>
            </w:r>
            <w:r>
              <w:rPr>
                <w:rFonts w:hint="eastAsia"/>
                <w:i w:val="0"/>
                <w:iCs w:val="0"/>
                <w:lang w:val="en-US" w:eastAsia="zh-CN"/>
              </w:rPr>
              <w:t xml:space="preserve">TS38.133. RAN1 does not need to capture when the switching pattern is applicable. </w:t>
            </w:r>
          </w:p>
          <w:p>
            <w:pPr>
              <w:rPr>
                <w:lang w:val="en-US" w:eastAsia="zh-CN"/>
              </w:rPr>
            </w:pPr>
            <w:r>
              <w:rPr>
                <w:b/>
                <w:bCs/>
              </w:rPr>
              <w:t>Summary of change</w:t>
            </w:r>
            <w:r>
              <w:t xml:space="preserve">: </w:t>
            </w:r>
            <w:r>
              <w:rPr>
                <w:rFonts w:hint="eastAsia"/>
                <w:lang w:val="en-US" w:eastAsia="zh-CN"/>
              </w:rPr>
              <w:t>Update the switching pattern can be provided to a UE when the SCell is configured</w:t>
            </w:r>
            <w:r>
              <w:rPr>
                <w:rFonts w:hint="eastAsia"/>
                <w:bCs/>
                <w:lang w:val="en-US" w:eastAsia="zh-CN"/>
              </w:rPr>
              <w:t>.</w:t>
            </w:r>
          </w:p>
          <w:p>
            <w:pPr>
              <w:rPr>
                <w:color w:val="000000"/>
                <w:kern w:val="2"/>
                <w:lang w:val="en-US" w:eastAsia="zh-CN"/>
              </w:rPr>
            </w:pPr>
            <w:r>
              <w:rPr>
                <w:b/>
                <w:bCs/>
              </w:rPr>
              <w:t>Consequences if not approved</w:t>
            </w:r>
            <w:r>
              <w:t xml:space="preserve">: </w:t>
            </w:r>
            <w:r>
              <w:rPr>
                <w:rFonts w:hint="eastAsia"/>
                <w:lang w:val="en-US" w:eastAsia="zh-CN"/>
              </w:rPr>
              <w:t xml:space="preserve">RAN1 spec is not correct based on the RAN4 agreement. </w:t>
            </w:r>
            <w:r>
              <w:rPr>
                <w:rFonts w:hint="eastAsia"/>
                <w:color w:val="000000"/>
                <w:kern w:val="2"/>
                <w:lang w:val="en-US" w:eastAsia="zh-CN"/>
              </w:rPr>
              <w:t xml:space="preserve"> </w:t>
            </w:r>
          </w:p>
          <w:p>
            <w:pPr>
              <w:rPr>
                <w:color w:val="000000"/>
                <w:kern w:val="2"/>
                <w:lang w:val="en-US" w:eastAsia="zh-CN"/>
              </w:rPr>
            </w:pPr>
            <w:r>
              <w:rPr>
                <w:rFonts w:eastAsiaTheme="minorEastAsia"/>
                <w:iCs/>
                <w:sz w:val="20"/>
                <w:szCs w:val="20"/>
              </w:rPr>
              <w:t>24</w:t>
            </w:r>
            <w:r>
              <w:rPr>
                <w:rFonts w:eastAsiaTheme="minorEastAsia"/>
                <w:iCs/>
                <w:sz w:val="20"/>
                <w:szCs w:val="20"/>
              </w:rPr>
              <w:tab/>
            </w:r>
            <w:r>
              <w:rPr>
                <w:rFonts w:eastAsiaTheme="minorEastAsia"/>
                <w:iCs/>
                <w:sz w:val="20"/>
                <w:szCs w:val="20"/>
              </w:rPr>
              <w:t>Downlink carrier aggregation via switching</w:t>
            </w:r>
          </w:p>
          <w:p>
            <w:pPr>
              <w:rPr>
                <w:lang w:eastAsia="zh-CN"/>
              </w:rPr>
            </w:pPr>
            <w:r>
              <w:rPr>
                <w:lang w:eastAsia="zh-CN"/>
              </w:rPr>
              <w:t xml:space="preserve">A UE that can switch operation between a PCell, that includes a DL carrier and a paired UL carrier, and an SCell, that includes a DL carrier without a paired UL carrier, can be provided by </w:t>
            </w:r>
            <w:r>
              <w:rPr>
                <w:i/>
                <w:strike w:val="0"/>
                <w:dstrike w:val="0"/>
                <w:color w:val="auto"/>
                <w:lang w:eastAsia="zh-CN"/>
              </w:rPr>
              <w:t>LBCA-SwitchingPattern</w:t>
            </w:r>
            <w:r>
              <w:rPr>
                <w:lang w:eastAsia="zh-CN"/>
              </w:rPr>
              <w:t xml:space="preserve"> a bitmap of slots indicating a switching pattern between the PCell and the SCell when the SCell is </w:t>
            </w:r>
            <w:r>
              <w:rPr>
                <w:strike/>
                <w:dstrike w:val="0"/>
                <w:color w:val="FF0000"/>
                <w:lang w:eastAsia="zh-CN"/>
              </w:rPr>
              <w:t>activated</w:t>
            </w:r>
            <w:r>
              <w:rPr>
                <w:rFonts w:hint="eastAsia"/>
                <w:color w:val="FF0000"/>
                <w:u w:val="single"/>
                <w:lang w:val="en-US" w:eastAsia="zh-CN"/>
              </w:rPr>
              <w:t>configured</w:t>
            </w:r>
            <w:r>
              <w:rPr>
                <w:lang w:eastAsia="zh-CN"/>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Pr>
                <w:color w:val="000000"/>
              </w:rPr>
              <w:t>The first slot of the bitmap is same as the first slot of a system frame with SFN 0 on the PCell. The SCS for all configured DL BWPs or UL BWPs on both the PCell and the SCell is 15 kHz and the periodicity of the switching pattern is 40 slots.</w:t>
            </w:r>
          </w:p>
          <w:p>
            <w:pPr>
              <w:jc w:val="center"/>
              <w:rPr>
                <w:lang w:val="en-US" w:eastAsia="zh-CN"/>
              </w:rPr>
            </w:pPr>
            <w:r>
              <w:t>&lt;Unchanged parts are omitted&gt;</w:t>
            </w:r>
          </w:p>
        </w:tc>
      </w:tr>
    </w:tbl>
    <w:p>
      <w:pPr>
        <w:spacing w:before="120" w:beforeLines="50"/>
        <w:rPr>
          <w:lang w:val="en-US" w:eastAsia="zh-CN"/>
        </w:rPr>
      </w:pPr>
      <w:r>
        <w:rPr>
          <w:rFonts w:hint="eastAsia" w:cs="Times New Roman"/>
          <w:b/>
          <w:bCs/>
          <w:i/>
          <w:iCs/>
          <w:lang w:val="en-US" w:eastAsia="zh-CN"/>
        </w:rPr>
        <w:t>Proposal 2</w:t>
      </w:r>
      <w:r>
        <w:rPr>
          <w:rFonts w:hint="eastAsia" w:cs="Times New Roman"/>
          <w:i/>
          <w:iCs/>
          <w:lang w:val="en-US" w:eastAsia="zh-CN"/>
        </w:rPr>
        <w:t>: It is preferred not to reply the LS because RAN1 has taken the LS into account and no need to double check with RAN4</w:t>
      </w:r>
      <w:r>
        <w:rPr>
          <w:rFonts w:hint="eastAsia" w:ascii="Times New Roman" w:hAnsi="Times New Roman" w:eastAsia="宋体" w:cs="Times New Roman"/>
          <w:i/>
          <w:iCs/>
          <w:color w:val="auto"/>
          <w:lang w:val="en-US" w:eastAsia="zh-CN"/>
        </w:rPr>
        <w:t>.</w:t>
      </w:r>
    </w:p>
    <w:p>
      <w:pPr>
        <w:pStyle w:val="4"/>
      </w:pPr>
      <w:r>
        <w:rPr>
          <w:rFonts w:hint="eastAsia"/>
          <w:lang w:val="en-US" w:eastAsia="zh-CN"/>
        </w:rPr>
        <w:t>Reference</w:t>
      </w:r>
    </w:p>
    <w:p>
      <w:pPr>
        <w:pStyle w:val="35"/>
        <w:numPr>
          <w:ilvl w:val="0"/>
          <w:numId w:val="15"/>
        </w:numPr>
        <w:ind w:left="0"/>
        <w:rPr>
          <w:rFonts w:hint="eastAsia"/>
          <w:lang w:val="en-US" w:eastAsia="zh-CN"/>
        </w:rPr>
      </w:pPr>
      <w:r>
        <w:rPr>
          <w:rFonts w:hint="eastAsia"/>
          <w:lang w:val="en-US" w:eastAsia="zh-CN"/>
        </w:rPr>
        <w:t>TS38.213-j10</w:t>
      </w:r>
      <w:r>
        <w:t>, Physical layer procedures for control</w:t>
      </w:r>
      <w:r>
        <w:rPr>
          <w:rFonts w:hint="eastAsia"/>
          <w:lang w:val="en-US" w:eastAsia="zh-CN"/>
        </w:rPr>
        <w:t>.</w:t>
      </w:r>
    </w:p>
    <w:p>
      <w:pPr>
        <w:pStyle w:val="35"/>
        <w:ind w:left="0"/>
        <w:rPr>
          <w:lang w:val="en-US" w:eastAsia="zh-CN"/>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DB933F"/>
    <w:multiLevelType w:val="singleLevel"/>
    <w:tmpl w:val="9BDB933F"/>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19"/>
      <w:lvlText w:val="%1."/>
      <w:lvlJc w:val="left"/>
      <w:pPr>
        <w:tabs>
          <w:tab w:val="left" w:pos="1492"/>
        </w:tabs>
        <w:ind w:left="1492" w:hanging="360"/>
      </w:pPr>
    </w:lvl>
  </w:abstractNum>
  <w:abstractNum w:abstractNumId="2">
    <w:nsid w:val="FFFFFFFE"/>
    <w:multiLevelType w:val="singleLevel"/>
    <w:tmpl w:val="FFFFFFFE"/>
    <w:lvl w:ilvl="0" w:tentative="0">
      <w:start w:val="0"/>
      <w:numFmt w:val="decimal"/>
      <w:lvlText w:val="*"/>
      <w:lvlJc w:val="left"/>
    </w:lvl>
  </w:abstractNum>
  <w:abstractNum w:abstractNumId="3">
    <w:nsid w:val="15F505D4"/>
    <w:multiLevelType w:val="multilevel"/>
    <w:tmpl w:val="15F505D4"/>
    <w:lvl w:ilvl="0" w:tentative="0">
      <w:start w:val="1"/>
      <w:numFmt w:val="decimal"/>
      <w:pStyle w:val="37"/>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B0A1344"/>
    <w:multiLevelType w:val="singleLevel"/>
    <w:tmpl w:val="1B0A1344"/>
    <w:lvl w:ilvl="0" w:tentative="0">
      <w:start w:val="1"/>
      <w:numFmt w:val="bullet"/>
      <w:pStyle w:val="33"/>
      <w:lvlText w:val=""/>
      <w:lvlJc w:val="left"/>
      <w:pPr>
        <w:tabs>
          <w:tab w:val="left" w:pos="0"/>
        </w:tabs>
        <w:ind w:left="1728" w:hanging="288"/>
      </w:pPr>
      <w:rPr>
        <w:rFonts w:hint="default" w:ascii="Monotype Sorts" w:hAnsi="Monotype Sorts"/>
      </w:rPr>
    </w:lvl>
  </w:abstractNum>
  <w:abstractNum w:abstractNumId="5">
    <w:nsid w:val="382946E8"/>
    <w:multiLevelType w:val="multilevel"/>
    <w:tmpl w:val="382946E8"/>
    <w:lvl w:ilvl="0" w:tentative="0">
      <w:start w:val="1"/>
      <w:numFmt w:val="bullet"/>
      <w:pStyle w:val="47"/>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BC10D59"/>
    <w:multiLevelType w:val="multilevel"/>
    <w:tmpl w:val="3BC10D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BDE7A6F"/>
    <w:multiLevelType w:val="multilevel"/>
    <w:tmpl w:val="3BDE7A6F"/>
    <w:lvl w:ilvl="0" w:tentative="0">
      <w:start w:val="1"/>
      <w:numFmt w:val="decimal"/>
      <w:pStyle w:val="4"/>
      <w:lvlText w:val="%1"/>
      <w:lvlJc w:val="left"/>
      <w:pPr>
        <w:ind w:left="425" w:hanging="425"/>
      </w:pPr>
      <w:rPr>
        <w:rFonts w:hint="eastAsia"/>
      </w:rPr>
    </w:lvl>
    <w:lvl w:ilvl="1" w:tentative="0">
      <w:start w:val="1"/>
      <w:numFmt w:val="decimal"/>
      <w:pStyle w:val="5"/>
      <w:lvlText w:val="%1.%2"/>
      <w:lvlJc w:val="left"/>
      <w:pPr>
        <w:ind w:left="567" w:hanging="567"/>
      </w:pPr>
      <w:rPr>
        <w:rFonts w:hint="eastAsia"/>
      </w:rPr>
    </w:lvl>
    <w:lvl w:ilvl="2" w:tentative="0">
      <w:start w:val="1"/>
      <w:numFmt w:val="decimal"/>
      <w:pStyle w:val="6"/>
      <w:lvlText w:val="%1.%2.%3"/>
      <w:lvlJc w:val="left"/>
      <w:pPr>
        <w:ind w:left="709" w:hanging="709"/>
      </w:pPr>
      <w:rPr>
        <w:rFonts w:hint="eastAsia"/>
      </w:rPr>
    </w:lvl>
    <w:lvl w:ilvl="3" w:tentative="0">
      <w:start w:val="1"/>
      <w:numFmt w:val="decimal"/>
      <w:pStyle w:val="7"/>
      <w:lvlText w:val="%1.%2.%3.%4"/>
      <w:lvlJc w:val="left"/>
      <w:pPr>
        <w:ind w:left="851" w:hanging="851"/>
      </w:pPr>
      <w:rPr>
        <w:rFonts w:hint="eastAsia"/>
      </w:rPr>
    </w:lvl>
    <w:lvl w:ilvl="4" w:tentative="0">
      <w:start w:val="1"/>
      <w:numFmt w:val="decimal"/>
      <w:pStyle w:val="8"/>
      <w:lvlText w:val="%1.%2.%3.%4.%5"/>
      <w:lvlJc w:val="left"/>
      <w:pPr>
        <w:ind w:left="992" w:hanging="992"/>
      </w:pPr>
      <w:rPr>
        <w:rFonts w:hint="eastAsia"/>
      </w:rPr>
    </w:lvl>
    <w:lvl w:ilvl="5" w:tentative="0">
      <w:start w:val="1"/>
      <w:numFmt w:val="decimal"/>
      <w:pStyle w:val="9"/>
      <w:lvlText w:val="%1.%2.%3.%4.%5.%6"/>
      <w:lvlJc w:val="left"/>
      <w:pPr>
        <w:ind w:left="1134" w:hanging="1134"/>
      </w:pPr>
      <w:rPr>
        <w:rFonts w:hint="eastAsia"/>
      </w:rPr>
    </w:lvl>
    <w:lvl w:ilvl="6" w:tentative="0">
      <w:start w:val="1"/>
      <w:numFmt w:val="decimal"/>
      <w:pStyle w:val="10"/>
      <w:lvlText w:val="%1.%2.%3.%4.%5.%6.%7"/>
      <w:lvlJc w:val="left"/>
      <w:pPr>
        <w:ind w:left="1276" w:hanging="1276"/>
      </w:pPr>
      <w:rPr>
        <w:rFonts w:hint="eastAsia"/>
      </w:rPr>
    </w:lvl>
    <w:lvl w:ilvl="7" w:tentative="0">
      <w:start w:val="1"/>
      <w:numFmt w:val="decimal"/>
      <w:pStyle w:val="11"/>
      <w:lvlText w:val="%1.%2.%3.%4.%5.%6.%7.%8"/>
      <w:lvlJc w:val="left"/>
      <w:pPr>
        <w:ind w:left="1418" w:hanging="1418"/>
      </w:pPr>
      <w:rPr>
        <w:rFonts w:hint="eastAsia"/>
      </w:rPr>
    </w:lvl>
    <w:lvl w:ilvl="8" w:tentative="0">
      <w:start w:val="1"/>
      <w:numFmt w:val="decimal"/>
      <w:pStyle w:val="12"/>
      <w:lvlText w:val="%1.%2.%3.%4.%5.%6.%7.%8.%9"/>
      <w:lvlJc w:val="left"/>
      <w:pPr>
        <w:ind w:left="1559" w:hanging="1559"/>
      </w:pPr>
      <w:rPr>
        <w:rFonts w:hint="eastAsia"/>
      </w:rPr>
    </w:lvl>
  </w:abstractNum>
  <w:abstractNum w:abstractNumId="8">
    <w:nsid w:val="41CA2C26"/>
    <w:multiLevelType w:val="singleLevel"/>
    <w:tmpl w:val="41CA2C26"/>
    <w:lvl w:ilvl="0" w:tentative="0">
      <w:start w:val="1"/>
      <w:numFmt w:val="bullet"/>
      <w:pStyle w:val="31"/>
      <w:lvlText w:val=""/>
      <w:lvlJc w:val="left"/>
      <w:pPr>
        <w:tabs>
          <w:tab w:val="left" w:pos="360"/>
        </w:tabs>
        <w:ind w:left="360" w:hanging="360"/>
      </w:pPr>
      <w:rPr>
        <w:rFonts w:hint="default" w:ascii="Webdings" w:hAnsi="Webdings"/>
      </w:rPr>
    </w:lvl>
  </w:abstractNum>
  <w:abstractNum w:abstractNumId="9">
    <w:nsid w:val="464D3319"/>
    <w:multiLevelType w:val="multilevel"/>
    <w:tmpl w:val="464D3319"/>
    <w:lvl w:ilvl="0" w:tentative="0">
      <w:start w:val="1"/>
      <w:numFmt w:val="decimal"/>
      <w:pStyle w:val="56"/>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0">
    <w:nsid w:val="474274C7"/>
    <w:multiLevelType w:val="multilevel"/>
    <w:tmpl w:val="474274C7"/>
    <w:lvl w:ilvl="0" w:tentative="0">
      <w:start w:val="1"/>
      <w:numFmt w:val="decimalZero"/>
      <w:pStyle w:val="67"/>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1">
    <w:nsid w:val="549A69FD"/>
    <w:multiLevelType w:val="multilevel"/>
    <w:tmpl w:val="549A69FD"/>
    <w:lvl w:ilvl="0" w:tentative="0">
      <w:start w:val="5"/>
      <w:numFmt w:val="decimal"/>
      <w:pStyle w:val="3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2">
    <w:nsid w:val="58B73482"/>
    <w:multiLevelType w:val="multilevel"/>
    <w:tmpl w:val="58B73482"/>
    <w:lvl w:ilvl="0" w:tentative="0">
      <w:start w:val="1"/>
      <w:numFmt w:val="bullet"/>
      <w:lvlText w:val=""/>
      <w:lvlJc w:val="left"/>
      <w:pPr>
        <w:ind w:left="360" w:hanging="360"/>
      </w:pPr>
      <w:rPr>
        <w:rFonts w:hint="default" w:ascii="Symbol" w:hAnsi="Symbol"/>
        <w:strike w:val="0"/>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5F1912B1"/>
    <w:multiLevelType w:val="multilevel"/>
    <w:tmpl w:val="5F1912B1"/>
    <w:lvl w:ilvl="0" w:tentative="0">
      <w:start w:val="1"/>
      <w:numFmt w:val="bullet"/>
      <w:pStyle w:val="63"/>
      <w:lvlText w:val=""/>
      <w:lvlJc w:val="left"/>
      <w:pPr>
        <w:ind w:left="720" w:hanging="360"/>
      </w:pPr>
      <w:rPr>
        <w:rFonts w:hint="default" w:ascii="Symbol" w:hAnsi="Symbol"/>
      </w:rPr>
    </w:lvl>
    <w:lvl w:ilvl="1" w:tentative="0">
      <w:start w:val="1"/>
      <w:numFmt w:val="bullet"/>
      <w:pStyle w:val="64"/>
      <w:lvlText w:val="o"/>
      <w:lvlJc w:val="left"/>
      <w:pPr>
        <w:ind w:left="1440" w:hanging="360"/>
      </w:pPr>
      <w:rPr>
        <w:rFonts w:hint="default" w:ascii="Courier New" w:hAnsi="Courier New" w:cs="Courier New"/>
      </w:rPr>
    </w:lvl>
    <w:lvl w:ilvl="2" w:tentative="0">
      <w:start w:val="1"/>
      <w:numFmt w:val="bullet"/>
      <w:pStyle w:val="65"/>
      <w:lvlText w:val=""/>
      <w:lvlJc w:val="left"/>
      <w:pPr>
        <w:ind w:left="2160" w:hanging="360"/>
      </w:pPr>
      <w:rPr>
        <w:rFonts w:hint="default" w:ascii="Wingdings" w:hAnsi="Wingdings"/>
      </w:rPr>
    </w:lvl>
    <w:lvl w:ilvl="3" w:tentative="0">
      <w:start w:val="1"/>
      <w:numFmt w:val="bullet"/>
      <w:pStyle w:val="66"/>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3690C9E"/>
    <w:multiLevelType w:val="singleLevel"/>
    <w:tmpl w:val="63690C9E"/>
    <w:lvl w:ilvl="0" w:tentative="0">
      <w:start w:val="1"/>
      <w:numFmt w:val="bullet"/>
      <w:pStyle w:val="30"/>
      <w:lvlText w:val=""/>
      <w:lvlJc w:val="left"/>
      <w:pPr>
        <w:tabs>
          <w:tab w:val="left" w:pos="360"/>
        </w:tabs>
        <w:ind w:left="360" w:hanging="360"/>
      </w:pPr>
      <w:rPr>
        <w:rFonts w:hint="default" w:ascii="Wingdings" w:hAnsi="Wingdings"/>
      </w:rPr>
    </w:lvl>
  </w:abstractNum>
  <w:num w:numId="1">
    <w:abstractNumId w:val="7"/>
  </w:num>
  <w:num w:numId="2">
    <w:abstractNumId w:val="1"/>
  </w:num>
  <w:num w:numId="3">
    <w:abstractNumId w:val="14"/>
  </w:num>
  <w:num w:numId="4">
    <w:abstractNumId w:val="8"/>
  </w:num>
  <w:num w:numId="5">
    <w:abstractNumId w:val="11"/>
  </w:num>
  <w:num w:numId="6">
    <w:abstractNumId w:val="4"/>
  </w:num>
  <w:num w:numId="7">
    <w:abstractNumId w:val="3"/>
  </w:num>
  <w:num w:numId="8">
    <w:abstractNumId w:val="5"/>
  </w:num>
  <w:num w:numId="9">
    <w:abstractNumId w:val="9"/>
  </w:num>
  <w:num w:numId="10">
    <w:abstractNumId w:val="2"/>
    <w:lvlOverride w:ilvl="0">
      <w:lvl w:ilvl="0" w:tentative="1">
        <w:start w:val="1"/>
        <w:numFmt w:val="bullet"/>
        <w:pStyle w:val="57"/>
        <w:lvlText w:val=""/>
        <w:legacy w:legacy="1" w:legacySpace="0" w:legacyIndent="360"/>
        <w:lvlJc w:val="left"/>
        <w:pPr>
          <w:ind w:left="360" w:hanging="360"/>
        </w:pPr>
        <w:rPr>
          <w:rFonts w:hint="default" w:ascii="Symbol" w:hAnsi="Symbol"/>
        </w:rPr>
      </w:lvl>
    </w:lvlOverride>
  </w:num>
  <w:num w:numId="11">
    <w:abstractNumId w:val="13"/>
  </w:num>
  <w:num w:numId="12">
    <w:abstractNumId w:val="10"/>
  </w:num>
  <w:num w:numId="13">
    <w:abstractNumId w:val="6"/>
  </w:num>
  <w:num w:numId="14">
    <w:abstractNumId w:val="12"/>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2A3"/>
    <w:rsid w:val="00012041"/>
    <w:rsid w:val="00015A55"/>
    <w:rsid w:val="00017FEB"/>
    <w:rsid w:val="00026559"/>
    <w:rsid w:val="00027DF6"/>
    <w:rsid w:val="00030F70"/>
    <w:rsid w:val="000313A7"/>
    <w:rsid w:val="00046A52"/>
    <w:rsid w:val="00051DE0"/>
    <w:rsid w:val="000522CE"/>
    <w:rsid w:val="00060775"/>
    <w:rsid w:val="00065873"/>
    <w:rsid w:val="00070003"/>
    <w:rsid w:val="00070262"/>
    <w:rsid w:val="000710AB"/>
    <w:rsid w:val="00072F10"/>
    <w:rsid w:val="00075F0A"/>
    <w:rsid w:val="00085B84"/>
    <w:rsid w:val="000A1F9D"/>
    <w:rsid w:val="000A548C"/>
    <w:rsid w:val="000A5F9B"/>
    <w:rsid w:val="000B2441"/>
    <w:rsid w:val="000B3036"/>
    <w:rsid w:val="000B5D68"/>
    <w:rsid w:val="000B615E"/>
    <w:rsid w:val="000B7303"/>
    <w:rsid w:val="000C173C"/>
    <w:rsid w:val="000C488F"/>
    <w:rsid w:val="000C76AA"/>
    <w:rsid w:val="000D2717"/>
    <w:rsid w:val="000D501A"/>
    <w:rsid w:val="000D7CE9"/>
    <w:rsid w:val="000F1A80"/>
    <w:rsid w:val="000F305E"/>
    <w:rsid w:val="001019EA"/>
    <w:rsid w:val="001109E7"/>
    <w:rsid w:val="0011508B"/>
    <w:rsid w:val="00120F9E"/>
    <w:rsid w:val="001230F5"/>
    <w:rsid w:val="0012310B"/>
    <w:rsid w:val="0012433F"/>
    <w:rsid w:val="00130F91"/>
    <w:rsid w:val="00145BE2"/>
    <w:rsid w:val="00146F4A"/>
    <w:rsid w:val="0015301A"/>
    <w:rsid w:val="0015542E"/>
    <w:rsid w:val="00155430"/>
    <w:rsid w:val="00162BCD"/>
    <w:rsid w:val="00162D5A"/>
    <w:rsid w:val="00163060"/>
    <w:rsid w:val="00166035"/>
    <w:rsid w:val="001710D4"/>
    <w:rsid w:val="00177643"/>
    <w:rsid w:val="001778F9"/>
    <w:rsid w:val="00182285"/>
    <w:rsid w:val="00195BC2"/>
    <w:rsid w:val="001A39BB"/>
    <w:rsid w:val="001A43F5"/>
    <w:rsid w:val="001A4838"/>
    <w:rsid w:val="001A4977"/>
    <w:rsid w:val="001B6A64"/>
    <w:rsid w:val="001C1D8C"/>
    <w:rsid w:val="001C1E7C"/>
    <w:rsid w:val="001C20E6"/>
    <w:rsid w:val="001C397B"/>
    <w:rsid w:val="001D29E8"/>
    <w:rsid w:val="001D3C86"/>
    <w:rsid w:val="001D701A"/>
    <w:rsid w:val="001D704F"/>
    <w:rsid w:val="001E1F5B"/>
    <w:rsid w:val="001F1D0B"/>
    <w:rsid w:val="001F2CB7"/>
    <w:rsid w:val="001F2F82"/>
    <w:rsid w:val="002008C7"/>
    <w:rsid w:val="00203AFE"/>
    <w:rsid w:val="002076AC"/>
    <w:rsid w:val="00210793"/>
    <w:rsid w:val="00212787"/>
    <w:rsid w:val="00225836"/>
    <w:rsid w:val="00226FAD"/>
    <w:rsid w:val="002270D9"/>
    <w:rsid w:val="00233AE1"/>
    <w:rsid w:val="00250CA3"/>
    <w:rsid w:val="0025209E"/>
    <w:rsid w:val="002559E4"/>
    <w:rsid w:val="00256CC2"/>
    <w:rsid w:val="00262C86"/>
    <w:rsid w:val="0026664C"/>
    <w:rsid w:val="00280711"/>
    <w:rsid w:val="00280F2A"/>
    <w:rsid w:val="0028552F"/>
    <w:rsid w:val="00287660"/>
    <w:rsid w:val="002904DA"/>
    <w:rsid w:val="00297011"/>
    <w:rsid w:val="002A3D48"/>
    <w:rsid w:val="002B133E"/>
    <w:rsid w:val="002B21B5"/>
    <w:rsid w:val="002D0B7E"/>
    <w:rsid w:val="002D2B71"/>
    <w:rsid w:val="002D301A"/>
    <w:rsid w:val="002D37FE"/>
    <w:rsid w:val="002D5C45"/>
    <w:rsid w:val="002E0C24"/>
    <w:rsid w:val="002F1FAA"/>
    <w:rsid w:val="002F3DB1"/>
    <w:rsid w:val="00300F01"/>
    <w:rsid w:val="00302474"/>
    <w:rsid w:val="00311ADA"/>
    <w:rsid w:val="00324023"/>
    <w:rsid w:val="003264B7"/>
    <w:rsid w:val="0032668B"/>
    <w:rsid w:val="00326F07"/>
    <w:rsid w:val="0033238A"/>
    <w:rsid w:val="003343A5"/>
    <w:rsid w:val="00337F0E"/>
    <w:rsid w:val="00340B20"/>
    <w:rsid w:val="00342302"/>
    <w:rsid w:val="0034579B"/>
    <w:rsid w:val="00355C5B"/>
    <w:rsid w:val="00360F8E"/>
    <w:rsid w:val="003635BB"/>
    <w:rsid w:val="00377D4E"/>
    <w:rsid w:val="003811DF"/>
    <w:rsid w:val="00391338"/>
    <w:rsid w:val="003914C3"/>
    <w:rsid w:val="00391E34"/>
    <w:rsid w:val="00391FF7"/>
    <w:rsid w:val="00393676"/>
    <w:rsid w:val="00395295"/>
    <w:rsid w:val="003974D0"/>
    <w:rsid w:val="00397D03"/>
    <w:rsid w:val="003A4F2B"/>
    <w:rsid w:val="003A5A27"/>
    <w:rsid w:val="003A7C59"/>
    <w:rsid w:val="003B05DA"/>
    <w:rsid w:val="003B3345"/>
    <w:rsid w:val="003B35EE"/>
    <w:rsid w:val="003D47A3"/>
    <w:rsid w:val="003D4E84"/>
    <w:rsid w:val="003D5271"/>
    <w:rsid w:val="003E3EF7"/>
    <w:rsid w:val="003E67DD"/>
    <w:rsid w:val="003F2E0D"/>
    <w:rsid w:val="003F7762"/>
    <w:rsid w:val="0040556F"/>
    <w:rsid w:val="0042112D"/>
    <w:rsid w:val="004237DC"/>
    <w:rsid w:val="004272D4"/>
    <w:rsid w:val="00430FCB"/>
    <w:rsid w:val="004313F6"/>
    <w:rsid w:val="00433BBC"/>
    <w:rsid w:val="00433DFB"/>
    <w:rsid w:val="004445E3"/>
    <w:rsid w:val="00445028"/>
    <w:rsid w:val="0044553C"/>
    <w:rsid w:val="00446FD7"/>
    <w:rsid w:val="00457AB4"/>
    <w:rsid w:val="004607C3"/>
    <w:rsid w:val="00465631"/>
    <w:rsid w:val="00466ACE"/>
    <w:rsid w:val="0047155F"/>
    <w:rsid w:val="00475771"/>
    <w:rsid w:val="00477502"/>
    <w:rsid w:val="00480394"/>
    <w:rsid w:val="00480ED9"/>
    <w:rsid w:val="00486B91"/>
    <w:rsid w:val="004871C1"/>
    <w:rsid w:val="00487603"/>
    <w:rsid w:val="004913E7"/>
    <w:rsid w:val="0049203D"/>
    <w:rsid w:val="004A1F8C"/>
    <w:rsid w:val="004A3FCD"/>
    <w:rsid w:val="004A7E15"/>
    <w:rsid w:val="004B0D86"/>
    <w:rsid w:val="004B0FFB"/>
    <w:rsid w:val="004B12D4"/>
    <w:rsid w:val="004B44CC"/>
    <w:rsid w:val="004C0A7C"/>
    <w:rsid w:val="004D0BB8"/>
    <w:rsid w:val="004D1865"/>
    <w:rsid w:val="004D62B8"/>
    <w:rsid w:val="004E445C"/>
    <w:rsid w:val="004F3810"/>
    <w:rsid w:val="004F486A"/>
    <w:rsid w:val="004F6109"/>
    <w:rsid w:val="00501DF9"/>
    <w:rsid w:val="00511997"/>
    <w:rsid w:val="00514036"/>
    <w:rsid w:val="00542929"/>
    <w:rsid w:val="00546597"/>
    <w:rsid w:val="00554F1D"/>
    <w:rsid w:val="00561227"/>
    <w:rsid w:val="005625F0"/>
    <w:rsid w:val="0056378F"/>
    <w:rsid w:val="00566800"/>
    <w:rsid w:val="005670FD"/>
    <w:rsid w:val="00567817"/>
    <w:rsid w:val="00572565"/>
    <w:rsid w:val="00574133"/>
    <w:rsid w:val="005926FA"/>
    <w:rsid w:val="005948DD"/>
    <w:rsid w:val="00597D6B"/>
    <w:rsid w:val="005A1091"/>
    <w:rsid w:val="005A5996"/>
    <w:rsid w:val="005B28C6"/>
    <w:rsid w:val="005B511C"/>
    <w:rsid w:val="005B77AB"/>
    <w:rsid w:val="005D196E"/>
    <w:rsid w:val="005D20F1"/>
    <w:rsid w:val="005D6B3E"/>
    <w:rsid w:val="005D727A"/>
    <w:rsid w:val="005E59B0"/>
    <w:rsid w:val="006014C4"/>
    <w:rsid w:val="006017DD"/>
    <w:rsid w:val="00601A7A"/>
    <w:rsid w:val="006035C5"/>
    <w:rsid w:val="006041B9"/>
    <w:rsid w:val="00606200"/>
    <w:rsid w:val="00613CFB"/>
    <w:rsid w:val="00616E48"/>
    <w:rsid w:val="00617910"/>
    <w:rsid w:val="00633EAE"/>
    <w:rsid w:val="006345FD"/>
    <w:rsid w:val="00645539"/>
    <w:rsid w:val="00647307"/>
    <w:rsid w:val="0065039A"/>
    <w:rsid w:val="00651E5D"/>
    <w:rsid w:val="006531A3"/>
    <w:rsid w:val="0065487E"/>
    <w:rsid w:val="00657927"/>
    <w:rsid w:val="00665283"/>
    <w:rsid w:val="00670B87"/>
    <w:rsid w:val="006732B1"/>
    <w:rsid w:val="00675C2C"/>
    <w:rsid w:val="0067650D"/>
    <w:rsid w:val="006805D4"/>
    <w:rsid w:val="0068494F"/>
    <w:rsid w:val="00685CBC"/>
    <w:rsid w:val="00687720"/>
    <w:rsid w:val="00690330"/>
    <w:rsid w:val="00692161"/>
    <w:rsid w:val="00692EC5"/>
    <w:rsid w:val="006A3AE9"/>
    <w:rsid w:val="006B17E2"/>
    <w:rsid w:val="006B40FF"/>
    <w:rsid w:val="006C32C6"/>
    <w:rsid w:val="006C6605"/>
    <w:rsid w:val="006D18F8"/>
    <w:rsid w:val="006D5AD8"/>
    <w:rsid w:val="006D5F2C"/>
    <w:rsid w:val="006E0D3A"/>
    <w:rsid w:val="006E1783"/>
    <w:rsid w:val="006E27A2"/>
    <w:rsid w:val="006E3895"/>
    <w:rsid w:val="006E74B6"/>
    <w:rsid w:val="006E7E2F"/>
    <w:rsid w:val="006F5CA1"/>
    <w:rsid w:val="00703553"/>
    <w:rsid w:val="00703BAC"/>
    <w:rsid w:val="00706ECF"/>
    <w:rsid w:val="00711362"/>
    <w:rsid w:val="00711B01"/>
    <w:rsid w:val="00714338"/>
    <w:rsid w:val="00722657"/>
    <w:rsid w:val="00737454"/>
    <w:rsid w:val="00737633"/>
    <w:rsid w:val="00737E1F"/>
    <w:rsid w:val="00750B7B"/>
    <w:rsid w:val="007573E6"/>
    <w:rsid w:val="00766308"/>
    <w:rsid w:val="00770DCB"/>
    <w:rsid w:val="007762F6"/>
    <w:rsid w:val="00782382"/>
    <w:rsid w:val="00784472"/>
    <w:rsid w:val="00785DFB"/>
    <w:rsid w:val="00786AA3"/>
    <w:rsid w:val="007967DD"/>
    <w:rsid w:val="00797045"/>
    <w:rsid w:val="007973C7"/>
    <w:rsid w:val="007A0861"/>
    <w:rsid w:val="007A1B62"/>
    <w:rsid w:val="007A2874"/>
    <w:rsid w:val="007A5383"/>
    <w:rsid w:val="007A6CB5"/>
    <w:rsid w:val="007B1FA0"/>
    <w:rsid w:val="007B2956"/>
    <w:rsid w:val="007B2E51"/>
    <w:rsid w:val="007B4CE8"/>
    <w:rsid w:val="007B6DCE"/>
    <w:rsid w:val="007C404E"/>
    <w:rsid w:val="007D16CB"/>
    <w:rsid w:val="007E79A9"/>
    <w:rsid w:val="007F2D46"/>
    <w:rsid w:val="007F49E7"/>
    <w:rsid w:val="007F59E5"/>
    <w:rsid w:val="00800961"/>
    <w:rsid w:val="008038E2"/>
    <w:rsid w:val="00806409"/>
    <w:rsid w:val="0081164C"/>
    <w:rsid w:val="00834E39"/>
    <w:rsid w:val="00836016"/>
    <w:rsid w:val="0084302D"/>
    <w:rsid w:val="008454F9"/>
    <w:rsid w:val="008475A9"/>
    <w:rsid w:val="00861097"/>
    <w:rsid w:val="00865E1B"/>
    <w:rsid w:val="00873D10"/>
    <w:rsid w:val="008764EE"/>
    <w:rsid w:val="00881C24"/>
    <w:rsid w:val="008877D4"/>
    <w:rsid w:val="00895D51"/>
    <w:rsid w:val="008A165C"/>
    <w:rsid w:val="008A30A6"/>
    <w:rsid w:val="008A373A"/>
    <w:rsid w:val="008A5C7E"/>
    <w:rsid w:val="008A716E"/>
    <w:rsid w:val="008B661E"/>
    <w:rsid w:val="008C09EB"/>
    <w:rsid w:val="008D1A2D"/>
    <w:rsid w:val="008D2A72"/>
    <w:rsid w:val="008D5968"/>
    <w:rsid w:val="008E5F6E"/>
    <w:rsid w:val="008E686F"/>
    <w:rsid w:val="008F3502"/>
    <w:rsid w:val="008F5BF6"/>
    <w:rsid w:val="0090102C"/>
    <w:rsid w:val="00904694"/>
    <w:rsid w:val="00910C20"/>
    <w:rsid w:val="00913AC7"/>
    <w:rsid w:val="00915C4B"/>
    <w:rsid w:val="00921AEB"/>
    <w:rsid w:val="00923D59"/>
    <w:rsid w:val="009312AE"/>
    <w:rsid w:val="0093259E"/>
    <w:rsid w:val="0094169B"/>
    <w:rsid w:val="00942ABA"/>
    <w:rsid w:val="00950AF9"/>
    <w:rsid w:val="009521CE"/>
    <w:rsid w:val="00952287"/>
    <w:rsid w:val="00957948"/>
    <w:rsid w:val="00960B41"/>
    <w:rsid w:val="00971695"/>
    <w:rsid w:val="00971F39"/>
    <w:rsid w:val="00982EBD"/>
    <w:rsid w:val="0098430E"/>
    <w:rsid w:val="00992439"/>
    <w:rsid w:val="00993CB3"/>
    <w:rsid w:val="00994A55"/>
    <w:rsid w:val="009951A9"/>
    <w:rsid w:val="00995611"/>
    <w:rsid w:val="009A0A69"/>
    <w:rsid w:val="009A5D68"/>
    <w:rsid w:val="009A6235"/>
    <w:rsid w:val="009A7095"/>
    <w:rsid w:val="009B2A15"/>
    <w:rsid w:val="009C3EDC"/>
    <w:rsid w:val="009C4FEA"/>
    <w:rsid w:val="009D062C"/>
    <w:rsid w:val="009D1451"/>
    <w:rsid w:val="009D236F"/>
    <w:rsid w:val="009D62C7"/>
    <w:rsid w:val="009E34F5"/>
    <w:rsid w:val="009E52CE"/>
    <w:rsid w:val="009E7C17"/>
    <w:rsid w:val="009F6B16"/>
    <w:rsid w:val="00A00E04"/>
    <w:rsid w:val="00A01FD8"/>
    <w:rsid w:val="00A050A4"/>
    <w:rsid w:val="00A0555A"/>
    <w:rsid w:val="00A11D0B"/>
    <w:rsid w:val="00A136F9"/>
    <w:rsid w:val="00A159A7"/>
    <w:rsid w:val="00A169FE"/>
    <w:rsid w:val="00A23A13"/>
    <w:rsid w:val="00A23AC4"/>
    <w:rsid w:val="00A2589D"/>
    <w:rsid w:val="00A26411"/>
    <w:rsid w:val="00A27ED8"/>
    <w:rsid w:val="00A30BF9"/>
    <w:rsid w:val="00A321AE"/>
    <w:rsid w:val="00A361F7"/>
    <w:rsid w:val="00A50287"/>
    <w:rsid w:val="00A53C77"/>
    <w:rsid w:val="00A609D7"/>
    <w:rsid w:val="00A62D0B"/>
    <w:rsid w:val="00A72ADF"/>
    <w:rsid w:val="00A7446C"/>
    <w:rsid w:val="00A77F12"/>
    <w:rsid w:val="00A80ACE"/>
    <w:rsid w:val="00A80CF5"/>
    <w:rsid w:val="00A84B14"/>
    <w:rsid w:val="00A91003"/>
    <w:rsid w:val="00A91CA6"/>
    <w:rsid w:val="00A9321D"/>
    <w:rsid w:val="00AA577F"/>
    <w:rsid w:val="00AA788E"/>
    <w:rsid w:val="00AB0463"/>
    <w:rsid w:val="00AB1B90"/>
    <w:rsid w:val="00AB48F4"/>
    <w:rsid w:val="00AB6876"/>
    <w:rsid w:val="00AC3166"/>
    <w:rsid w:val="00AC3359"/>
    <w:rsid w:val="00AC3A58"/>
    <w:rsid w:val="00AD2928"/>
    <w:rsid w:val="00AD2EF2"/>
    <w:rsid w:val="00AE6350"/>
    <w:rsid w:val="00AF5830"/>
    <w:rsid w:val="00AF5B6B"/>
    <w:rsid w:val="00AF5DB7"/>
    <w:rsid w:val="00AF6158"/>
    <w:rsid w:val="00AF6ED7"/>
    <w:rsid w:val="00B13AA7"/>
    <w:rsid w:val="00B1516E"/>
    <w:rsid w:val="00B152C4"/>
    <w:rsid w:val="00B15576"/>
    <w:rsid w:val="00B43D99"/>
    <w:rsid w:val="00B451EB"/>
    <w:rsid w:val="00B467FC"/>
    <w:rsid w:val="00B502F2"/>
    <w:rsid w:val="00B5528C"/>
    <w:rsid w:val="00B640AE"/>
    <w:rsid w:val="00B64B55"/>
    <w:rsid w:val="00B70246"/>
    <w:rsid w:val="00B73CD7"/>
    <w:rsid w:val="00B80976"/>
    <w:rsid w:val="00B83CA6"/>
    <w:rsid w:val="00B93491"/>
    <w:rsid w:val="00B93E24"/>
    <w:rsid w:val="00B977EE"/>
    <w:rsid w:val="00BA52FA"/>
    <w:rsid w:val="00BA5C1C"/>
    <w:rsid w:val="00BA6DAF"/>
    <w:rsid w:val="00BB2A16"/>
    <w:rsid w:val="00BC0C4D"/>
    <w:rsid w:val="00BD127B"/>
    <w:rsid w:val="00BD2263"/>
    <w:rsid w:val="00BD5778"/>
    <w:rsid w:val="00BD6B0F"/>
    <w:rsid w:val="00BE1DA3"/>
    <w:rsid w:val="00BE2613"/>
    <w:rsid w:val="00BF0EEC"/>
    <w:rsid w:val="00BF52C7"/>
    <w:rsid w:val="00C00749"/>
    <w:rsid w:val="00C01593"/>
    <w:rsid w:val="00C05E2F"/>
    <w:rsid w:val="00C07988"/>
    <w:rsid w:val="00C124D9"/>
    <w:rsid w:val="00C15270"/>
    <w:rsid w:val="00C17EA2"/>
    <w:rsid w:val="00C27D83"/>
    <w:rsid w:val="00C27FEB"/>
    <w:rsid w:val="00C301C6"/>
    <w:rsid w:val="00C32781"/>
    <w:rsid w:val="00C374EE"/>
    <w:rsid w:val="00C42069"/>
    <w:rsid w:val="00C44BBE"/>
    <w:rsid w:val="00C450A2"/>
    <w:rsid w:val="00C45599"/>
    <w:rsid w:val="00C5026C"/>
    <w:rsid w:val="00C50D79"/>
    <w:rsid w:val="00C602F5"/>
    <w:rsid w:val="00C60DC8"/>
    <w:rsid w:val="00C64F06"/>
    <w:rsid w:val="00C65FBC"/>
    <w:rsid w:val="00C6743C"/>
    <w:rsid w:val="00C774D0"/>
    <w:rsid w:val="00C82A4A"/>
    <w:rsid w:val="00C84F04"/>
    <w:rsid w:val="00C86B31"/>
    <w:rsid w:val="00C91E19"/>
    <w:rsid w:val="00C94D05"/>
    <w:rsid w:val="00C96043"/>
    <w:rsid w:val="00CA2E0F"/>
    <w:rsid w:val="00CC150C"/>
    <w:rsid w:val="00CC4D81"/>
    <w:rsid w:val="00CE0277"/>
    <w:rsid w:val="00CE06D2"/>
    <w:rsid w:val="00CE15BD"/>
    <w:rsid w:val="00CE5E1E"/>
    <w:rsid w:val="00CF03B6"/>
    <w:rsid w:val="00CF72EC"/>
    <w:rsid w:val="00CF797A"/>
    <w:rsid w:val="00CF7A64"/>
    <w:rsid w:val="00D05149"/>
    <w:rsid w:val="00D11338"/>
    <w:rsid w:val="00D202DD"/>
    <w:rsid w:val="00D2395F"/>
    <w:rsid w:val="00D27C6B"/>
    <w:rsid w:val="00D407B3"/>
    <w:rsid w:val="00D421BB"/>
    <w:rsid w:val="00D431D8"/>
    <w:rsid w:val="00D437B7"/>
    <w:rsid w:val="00D45CBF"/>
    <w:rsid w:val="00D52538"/>
    <w:rsid w:val="00D53AB9"/>
    <w:rsid w:val="00D6592D"/>
    <w:rsid w:val="00D72C3B"/>
    <w:rsid w:val="00D84D1F"/>
    <w:rsid w:val="00D86CC0"/>
    <w:rsid w:val="00D91FB2"/>
    <w:rsid w:val="00DA02C9"/>
    <w:rsid w:val="00DA2A10"/>
    <w:rsid w:val="00DA4F90"/>
    <w:rsid w:val="00DA7513"/>
    <w:rsid w:val="00DB4A00"/>
    <w:rsid w:val="00DC0F88"/>
    <w:rsid w:val="00DC1EF1"/>
    <w:rsid w:val="00DC60D4"/>
    <w:rsid w:val="00DD2381"/>
    <w:rsid w:val="00DD6400"/>
    <w:rsid w:val="00DE28FB"/>
    <w:rsid w:val="00DE6621"/>
    <w:rsid w:val="00DE6632"/>
    <w:rsid w:val="00DF3684"/>
    <w:rsid w:val="00DF5800"/>
    <w:rsid w:val="00E133C3"/>
    <w:rsid w:val="00E1383E"/>
    <w:rsid w:val="00E15318"/>
    <w:rsid w:val="00E158D1"/>
    <w:rsid w:val="00E1686C"/>
    <w:rsid w:val="00E215C4"/>
    <w:rsid w:val="00E22C70"/>
    <w:rsid w:val="00E25D0E"/>
    <w:rsid w:val="00E273C4"/>
    <w:rsid w:val="00E426ED"/>
    <w:rsid w:val="00E42731"/>
    <w:rsid w:val="00E433BA"/>
    <w:rsid w:val="00E44836"/>
    <w:rsid w:val="00E44A17"/>
    <w:rsid w:val="00E640A8"/>
    <w:rsid w:val="00E70564"/>
    <w:rsid w:val="00E77CD1"/>
    <w:rsid w:val="00E802EE"/>
    <w:rsid w:val="00E84177"/>
    <w:rsid w:val="00E84E86"/>
    <w:rsid w:val="00E927CC"/>
    <w:rsid w:val="00EA0CFC"/>
    <w:rsid w:val="00EA0F6D"/>
    <w:rsid w:val="00EC238D"/>
    <w:rsid w:val="00EC3AEA"/>
    <w:rsid w:val="00EC51A0"/>
    <w:rsid w:val="00EC59E1"/>
    <w:rsid w:val="00EC60F4"/>
    <w:rsid w:val="00ED4BB8"/>
    <w:rsid w:val="00ED5664"/>
    <w:rsid w:val="00ED61F5"/>
    <w:rsid w:val="00EF42E6"/>
    <w:rsid w:val="00EF4591"/>
    <w:rsid w:val="00F1151A"/>
    <w:rsid w:val="00F143FF"/>
    <w:rsid w:val="00F173B2"/>
    <w:rsid w:val="00F17F2A"/>
    <w:rsid w:val="00F20615"/>
    <w:rsid w:val="00F2238C"/>
    <w:rsid w:val="00F3139D"/>
    <w:rsid w:val="00F338B7"/>
    <w:rsid w:val="00F35A49"/>
    <w:rsid w:val="00F45EED"/>
    <w:rsid w:val="00F517AE"/>
    <w:rsid w:val="00F56022"/>
    <w:rsid w:val="00F61563"/>
    <w:rsid w:val="00F6288A"/>
    <w:rsid w:val="00F62AF3"/>
    <w:rsid w:val="00F65419"/>
    <w:rsid w:val="00F66BB3"/>
    <w:rsid w:val="00F803D4"/>
    <w:rsid w:val="00F916AF"/>
    <w:rsid w:val="00F96648"/>
    <w:rsid w:val="00FA240A"/>
    <w:rsid w:val="00FA477A"/>
    <w:rsid w:val="00FB6E31"/>
    <w:rsid w:val="00FC184A"/>
    <w:rsid w:val="00FC2EED"/>
    <w:rsid w:val="00FD02C3"/>
    <w:rsid w:val="00FD2C4C"/>
    <w:rsid w:val="00FD6B32"/>
    <w:rsid w:val="00FE5131"/>
    <w:rsid w:val="00FE5ABD"/>
    <w:rsid w:val="00FE5F0A"/>
    <w:rsid w:val="00FE742E"/>
    <w:rsid w:val="00FF345F"/>
    <w:rsid w:val="00FF5AAE"/>
    <w:rsid w:val="00FF7BD1"/>
    <w:rsid w:val="00FF7BEB"/>
    <w:rsid w:val="01325FE6"/>
    <w:rsid w:val="018A0E13"/>
    <w:rsid w:val="018A58CB"/>
    <w:rsid w:val="01F11ABC"/>
    <w:rsid w:val="025F48FF"/>
    <w:rsid w:val="026B3287"/>
    <w:rsid w:val="02CF14AA"/>
    <w:rsid w:val="0306625F"/>
    <w:rsid w:val="037A56F8"/>
    <w:rsid w:val="03C64D74"/>
    <w:rsid w:val="03C73C40"/>
    <w:rsid w:val="0461636B"/>
    <w:rsid w:val="04BE2ED4"/>
    <w:rsid w:val="04CD030F"/>
    <w:rsid w:val="05055969"/>
    <w:rsid w:val="05171657"/>
    <w:rsid w:val="054D2B43"/>
    <w:rsid w:val="05743230"/>
    <w:rsid w:val="05D000DC"/>
    <w:rsid w:val="06254030"/>
    <w:rsid w:val="06451A56"/>
    <w:rsid w:val="06963DDF"/>
    <w:rsid w:val="06D0743C"/>
    <w:rsid w:val="094139BD"/>
    <w:rsid w:val="09764BF0"/>
    <w:rsid w:val="0984657C"/>
    <w:rsid w:val="0A025FF9"/>
    <w:rsid w:val="0A384B69"/>
    <w:rsid w:val="0ADA0B8C"/>
    <w:rsid w:val="0BAB60B5"/>
    <w:rsid w:val="0C301D6B"/>
    <w:rsid w:val="0CAA7322"/>
    <w:rsid w:val="0D6938A2"/>
    <w:rsid w:val="0D7865A5"/>
    <w:rsid w:val="0DA63A05"/>
    <w:rsid w:val="0DC83A75"/>
    <w:rsid w:val="0DDC788B"/>
    <w:rsid w:val="0E1B4E76"/>
    <w:rsid w:val="0E892E1D"/>
    <w:rsid w:val="0EBB3639"/>
    <w:rsid w:val="0F84587A"/>
    <w:rsid w:val="0FD101F3"/>
    <w:rsid w:val="0FEE1F88"/>
    <w:rsid w:val="100D7863"/>
    <w:rsid w:val="10BB2E7F"/>
    <w:rsid w:val="115C2A08"/>
    <w:rsid w:val="132B7D04"/>
    <w:rsid w:val="13B74DE6"/>
    <w:rsid w:val="13E10270"/>
    <w:rsid w:val="13F218D0"/>
    <w:rsid w:val="14191607"/>
    <w:rsid w:val="143602DA"/>
    <w:rsid w:val="14720225"/>
    <w:rsid w:val="14D902A4"/>
    <w:rsid w:val="151E3433"/>
    <w:rsid w:val="15461BD9"/>
    <w:rsid w:val="1552298B"/>
    <w:rsid w:val="1595150C"/>
    <w:rsid w:val="15B029A2"/>
    <w:rsid w:val="166938A9"/>
    <w:rsid w:val="16815279"/>
    <w:rsid w:val="16FF4318"/>
    <w:rsid w:val="16FF4530"/>
    <w:rsid w:val="170F24F1"/>
    <w:rsid w:val="179F6362"/>
    <w:rsid w:val="18031E1F"/>
    <w:rsid w:val="187334AB"/>
    <w:rsid w:val="19296639"/>
    <w:rsid w:val="1A424E7F"/>
    <w:rsid w:val="1AAA39D4"/>
    <w:rsid w:val="1ABB4669"/>
    <w:rsid w:val="1B1F438E"/>
    <w:rsid w:val="1B505DB9"/>
    <w:rsid w:val="1BD35136"/>
    <w:rsid w:val="1BF4566B"/>
    <w:rsid w:val="1C93646E"/>
    <w:rsid w:val="1CF76192"/>
    <w:rsid w:val="1D3D2FFA"/>
    <w:rsid w:val="1DC064A5"/>
    <w:rsid w:val="1E456FF9"/>
    <w:rsid w:val="1E7246A5"/>
    <w:rsid w:val="1EE559BD"/>
    <w:rsid w:val="1F3025BA"/>
    <w:rsid w:val="1F872FC8"/>
    <w:rsid w:val="1FCA14B3"/>
    <w:rsid w:val="203730A5"/>
    <w:rsid w:val="20CF582B"/>
    <w:rsid w:val="20EB001C"/>
    <w:rsid w:val="20EC4DFB"/>
    <w:rsid w:val="21962D28"/>
    <w:rsid w:val="219630B6"/>
    <w:rsid w:val="21D526D3"/>
    <w:rsid w:val="22392531"/>
    <w:rsid w:val="224A3AD1"/>
    <w:rsid w:val="22F4099F"/>
    <w:rsid w:val="23384591"/>
    <w:rsid w:val="24AB32DF"/>
    <w:rsid w:val="256E58F7"/>
    <w:rsid w:val="25AF1BE4"/>
    <w:rsid w:val="25DB4AFE"/>
    <w:rsid w:val="26130D8E"/>
    <w:rsid w:val="26316F66"/>
    <w:rsid w:val="266D329C"/>
    <w:rsid w:val="26A76454"/>
    <w:rsid w:val="275639D6"/>
    <w:rsid w:val="2774563A"/>
    <w:rsid w:val="2907735C"/>
    <w:rsid w:val="293456C1"/>
    <w:rsid w:val="29AC1FD3"/>
    <w:rsid w:val="2A8C4F5A"/>
    <w:rsid w:val="2B426863"/>
    <w:rsid w:val="2D18338A"/>
    <w:rsid w:val="2D636E4D"/>
    <w:rsid w:val="2D953FD8"/>
    <w:rsid w:val="2DA835D6"/>
    <w:rsid w:val="2DE9514A"/>
    <w:rsid w:val="2E382BFF"/>
    <w:rsid w:val="2E7F19D7"/>
    <w:rsid w:val="2EE35A04"/>
    <w:rsid w:val="2EFA558F"/>
    <w:rsid w:val="2F35161A"/>
    <w:rsid w:val="2F850F05"/>
    <w:rsid w:val="2FA8493D"/>
    <w:rsid w:val="2FCC3878"/>
    <w:rsid w:val="3075518C"/>
    <w:rsid w:val="30E965CE"/>
    <w:rsid w:val="31205744"/>
    <w:rsid w:val="31406FDD"/>
    <w:rsid w:val="31740D19"/>
    <w:rsid w:val="32233775"/>
    <w:rsid w:val="32285C55"/>
    <w:rsid w:val="32296F5A"/>
    <w:rsid w:val="32851613"/>
    <w:rsid w:val="32A974A8"/>
    <w:rsid w:val="32EA1597"/>
    <w:rsid w:val="3312199A"/>
    <w:rsid w:val="33BB2EB6"/>
    <w:rsid w:val="34215AAD"/>
    <w:rsid w:val="34945D4F"/>
    <w:rsid w:val="34CE0A97"/>
    <w:rsid w:val="34EA68FC"/>
    <w:rsid w:val="35400790"/>
    <w:rsid w:val="355F5690"/>
    <w:rsid w:val="358F3326"/>
    <w:rsid w:val="359F2D89"/>
    <w:rsid w:val="36460F99"/>
    <w:rsid w:val="36595A3B"/>
    <w:rsid w:val="36AC62D8"/>
    <w:rsid w:val="37872E74"/>
    <w:rsid w:val="381419DC"/>
    <w:rsid w:val="381F1A74"/>
    <w:rsid w:val="39FA48AC"/>
    <w:rsid w:val="3A166077"/>
    <w:rsid w:val="3A9474A1"/>
    <w:rsid w:val="3AFE0C57"/>
    <w:rsid w:val="3B4F6126"/>
    <w:rsid w:val="3B6049CB"/>
    <w:rsid w:val="3BA548E8"/>
    <w:rsid w:val="3C340CD4"/>
    <w:rsid w:val="3C3976F6"/>
    <w:rsid w:val="3C7A0535"/>
    <w:rsid w:val="3C8E2667"/>
    <w:rsid w:val="3CC81E82"/>
    <w:rsid w:val="3D027E9D"/>
    <w:rsid w:val="3D1F277A"/>
    <w:rsid w:val="3D940346"/>
    <w:rsid w:val="3DD16176"/>
    <w:rsid w:val="3E855DC8"/>
    <w:rsid w:val="3ECC1E3C"/>
    <w:rsid w:val="3F407652"/>
    <w:rsid w:val="3F864FC5"/>
    <w:rsid w:val="3FE93AB0"/>
    <w:rsid w:val="400865EF"/>
    <w:rsid w:val="400C2735"/>
    <w:rsid w:val="40D06401"/>
    <w:rsid w:val="40DB4E75"/>
    <w:rsid w:val="411F2BCC"/>
    <w:rsid w:val="41697F5C"/>
    <w:rsid w:val="41AC17E0"/>
    <w:rsid w:val="41E50BAA"/>
    <w:rsid w:val="42030C49"/>
    <w:rsid w:val="42681DFC"/>
    <w:rsid w:val="429C4727"/>
    <w:rsid w:val="43615785"/>
    <w:rsid w:val="43BA679E"/>
    <w:rsid w:val="44092E2E"/>
    <w:rsid w:val="44562E10"/>
    <w:rsid w:val="4463567E"/>
    <w:rsid w:val="44EB6041"/>
    <w:rsid w:val="45092283"/>
    <w:rsid w:val="46061790"/>
    <w:rsid w:val="46252AC1"/>
    <w:rsid w:val="46A61E2C"/>
    <w:rsid w:val="46F00934"/>
    <w:rsid w:val="47087F18"/>
    <w:rsid w:val="47993F84"/>
    <w:rsid w:val="47A30116"/>
    <w:rsid w:val="47C42C03"/>
    <w:rsid w:val="482029D7"/>
    <w:rsid w:val="48410F19"/>
    <w:rsid w:val="489973AA"/>
    <w:rsid w:val="4AA96E37"/>
    <w:rsid w:val="4B8E52B1"/>
    <w:rsid w:val="4BD40DF5"/>
    <w:rsid w:val="4C7A0E3B"/>
    <w:rsid w:val="4CF856D5"/>
    <w:rsid w:val="4D094EC3"/>
    <w:rsid w:val="4D541AEE"/>
    <w:rsid w:val="4D547FED"/>
    <w:rsid w:val="4D7F46B4"/>
    <w:rsid w:val="4E393586"/>
    <w:rsid w:val="4E41138F"/>
    <w:rsid w:val="4E5F5F21"/>
    <w:rsid w:val="4E82266A"/>
    <w:rsid w:val="4EC54E1A"/>
    <w:rsid w:val="4ECE7E82"/>
    <w:rsid w:val="4EDB212D"/>
    <w:rsid w:val="4F8151E4"/>
    <w:rsid w:val="4FEE557C"/>
    <w:rsid w:val="4FF33DB8"/>
    <w:rsid w:val="505A3B3A"/>
    <w:rsid w:val="50DD75B9"/>
    <w:rsid w:val="50F47C38"/>
    <w:rsid w:val="51087569"/>
    <w:rsid w:val="51120C8D"/>
    <w:rsid w:val="51563A00"/>
    <w:rsid w:val="517A4EB9"/>
    <w:rsid w:val="519809A2"/>
    <w:rsid w:val="52586AA6"/>
    <w:rsid w:val="52DC0ED1"/>
    <w:rsid w:val="536C1D08"/>
    <w:rsid w:val="53AF716D"/>
    <w:rsid w:val="53CA3594"/>
    <w:rsid w:val="548D6A45"/>
    <w:rsid w:val="54E57124"/>
    <w:rsid w:val="55466588"/>
    <w:rsid w:val="55E204BC"/>
    <w:rsid w:val="562F5220"/>
    <w:rsid w:val="56561764"/>
    <w:rsid w:val="56B247E4"/>
    <w:rsid w:val="56F92846"/>
    <w:rsid w:val="5712706A"/>
    <w:rsid w:val="5725086A"/>
    <w:rsid w:val="5735569F"/>
    <w:rsid w:val="576724ED"/>
    <w:rsid w:val="576B17B6"/>
    <w:rsid w:val="576F4E72"/>
    <w:rsid w:val="578215FD"/>
    <w:rsid w:val="585844FD"/>
    <w:rsid w:val="586B76C2"/>
    <w:rsid w:val="58E173CD"/>
    <w:rsid w:val="5966741E"/>
    <w:rsid w:val="599154FE"/>
    <w:rsid w:val="5AF52627"/>
    <w:rsid w:val="5BED775E"/>
    <w:rsid w:val="5C3C41E3"/>
    <w:rsid w:val="5C865BC7"/>
    <w:rsid w:val="5CE57268"/>
    <w:rsid w:val="5D8C1586"/>
    <w:rsid w:val="5D8F1753"/>
    <w:rsid w:val="5DA65EFA"/>
    <w:rsid w:val="5DF272AD"/>
    <w:rsid w:val="5F016DFC"/>
    <w:rsid w:val="5F376BBC"/>
    <w:rsid w:val="5F9304D9"/>
    <w:rsid w:val="608060E1"/>
    <w:rsid w:val="61136A17"/>
    <w:rsid w:val="624C6651"/>
    <w:rsid w:val="629422C9"/>
    <w:rsid w:val="62CD6B44"/>
    <w:rsid w:val="631611C1"/>
    <w:rsid w:val="6396536F"/>
    <w:rsid w:val="63C21EE1"/>
    <w:rsid w:val="648065F1"/>
    <w:rsid w:val="64D7381D"/>
    <w:rsid w:val="65085009"/>
    <w:rsid w:val="654D24C2"/>
    <w:rsid w:val="6573320B"/>
    <w:rsid w:val="657B5DDA"/>
    <w:rsid w:val="65A65279"/>
    <w:rsid w:val="67482AED"/>
    <w:rsid w:val="67E544F9"/>
    <w:rsid w:val="683A638D"/>
    <w:rsid w:val="687675E4"/>
    <w:rsid w:val="688E42B7"/>
    <w:rsid w:val="68A67F62"/>
    <w:rsid w:val="68B84664"/>
    <w:rsid w:val="68BD6AD3"/>
    <w:rsid w:val="68DF491C"/>
    <w:rsid w:val="69382AD6"/>
    <w:rsid w:val="69CD77BD"/>
    <w:rsid w:val="69E25200"/>
    <w:rsid w:val="69E92EFD"/>
    <w:rsid w:val="6A095303"/>
    <w:rsid w:val="6A911D64"/>
    <w:rsid w:val="6AE67270"/>
    <w:rsid w:val="6B4A5721"/>
    <w:rsid w:val="6BF343C7"/>
    <w:rsid w:val="6CC46DC2"/>
    <w:rsid w:val="6D2F41F3"/>
    <w:rsid w:val="6DD67943"/>
    <w:rsid w:val="6E3D5571"/>
    <w:rsid w:val="6E732CC4"/>
    <w:rsid w:val="6E8E2194"/>
    <w:rsid w:val="6EAC66B8"/>
    <w:rsid w:val="6F00762E"/>
    <w:rsid w:val="6F1C3F1A"/>
    <w:rsid w:val="6F3C2C1C"/>
    <w:rsid w:val="6F4656AB"/>
    <w:rsid w:val="6F7A21F2"/>
    <w:rsid w:val="6F96629E"/>
    <w:rsid w:val="6FA71DBC"/>
    <w:rsid w:val="6FAB4007"/>
    <w:rsid w:val="701D640C"/>
    <w:rsid w:val="70313C65"/>
    <w:rsid w:val="70424E0E"/>
    <w:rsid w:val="716A417E"/>
    <w:rsid w:val="725A4828"/>
    <w:rsid w:val="7297468D"/>
    <w:rsid w:val="72C77433"/>
    <w:rsid w:val="73280AA9"/>
    <w:rsid w:val="741E6CC4"/>
    <w:rsid w:val="74245119"/>
    <w:rsid w:val="742F33E1"/>
    <w:rsid w:val="748C3843"/>
    <w:rsid w:val="759077D0"/>
    <w:rsid w:val="759D6F04"/>
    <w:rsid w:val="75E11055"/>
    <w:rsid w:val="765D4390"/>
    <w:rsid w:val="76C53533"/>
    <w:rsid w:val="76FE4FA3"/>
    <w:rsid w:val="777D6AC4"/>
    <w:rsid w:val="779C50F7"/>
    <w:rsid w:val="78BE1FA4"/>
    <w:rsid w:val="78FA4568"/>
    <w:rsid w:val="795D662A"/>
    <w:rsid w:val="79645362"/>
    <w:rsid w:val="79845312"/>
    <w:rsid w:val="79897FE5"/>
    <w:rsid w:val="799C1155"/>
    <w:rsid w:val="79A4470B"/>
    <w:rsid w:val="79C505D8"/>
    <w:rsid w:val="7A2B7F7C"/>
    <w:rsid w:val="7A6648DE"/>
    <w:rsid w:val="7A9F24BA"/>
    <w:rsid w:val="7ABA0AE5"/>
    <w:rsid w:val="7AD54B92"/>
    <w:rsid w:val="7B8051E5"/>
    <w:rsid w:val="7C1C208B"/>
    <w:rsid w:val="7C2B0D09"/>
    <w:rsid w:val="7C854FCE"/>
    <w:rsid w:val="7C8A45E3"/>
    <w:rsid w:val="7CC321BF"/>
    <w:rsid w:val="7CC7169E"/>
    <w:rsid w:val="7DFC1166"/>
    <w:rsid w:val="7E8908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jc w:val="both"/>
    </w:pPr>
    <w:rPr>
      <w:rFonts w:ascii="Times New Roman" w:hAnsi="Times New Roman" w:eastAsia="宋体" w:cs="Times New Roman"/>
      <w:lang w:val="en-GB" w:eastAsia="en-US" w:bidi="ar-SA"/>
    </w:rPr>
  </w:style>
  <w:style w:type="paragraph" w:styleId="4">
    <w:name w:val="heading 1"/>
    <w:basedOn w:val="1"/>
    <w:next w:val="1"/>
    <w:qFormat/>
    <w:uiPriority w:val="0"/>
    <w:pPr>
      <w:keepNext/>
      <w:numPr>
        <w:ilvl w:val="0"/>
        <w:numId w:val="1"/>
      </w:numPr>
      <w:pBdr>
        <w:top w:val="single" w:color="auto" w:sz="12" w:space="1"/>
      </w:pBdr>
      <w:spacing w:before="240"/>
      <w:outlineLvl w:val="0"/>
    </w:pPr>
    <w:rPr>
      <w:rFonts w:ascii="Arial" w:hAnsi="Arial"/>
      <w:sz w:val="28"/>
    </w:rPr>
  </w:style>
  <w:style w:type="paragraph" w:styleId="5">
    <w:name w:val="heading 2"/>
    <w:basedOn w:val="4"/>
    <w:next w:val="1"/>
    <w:qFormat/>
    <w:uiPriority w:val="0"/>
    <w:pPr>
      <w:numPr>
        <w:ilvl w:val="1"/>
      </w:numPr>
      <w:spacing w:before="180"/>
      <w:outlineLvl w:val="1"/>
    </w:pPr>
    <w:rPr>
      <w:sz w:val="24"/>
    </w:rPr>
  </w:style>
  <w:style w:type="paragraph" w:styleId="6">
    <w:name w:val="heading 3"/>
    <w:basedOn w:val="5"/>
    <w:next w:val="1"/>
    <w:qFormat/>
    <w:uiPriority w:val="0"/>
    <w:pPr>
      <w:keepNext/>
      <w:numPr>
        <w:ilvl w:val="2"/>
        <w:numId w:val="1"/>
      </w:numPr>
      <w:spacing w:before="120"/>
      <w:outlineLvl w:val="2"/>
    </w:pPr>
    <w:rPr>
      <w:rFonts w:ascii="Arial" w:hAnsi="Arial"/>
    </w:rPr>
  </w:style>
  <w:style w:type="paragraph" w:styleId="7">
    <w:name w:val="heading 4"/>
    <w:basedOn w:val="6"/>
    <w:next w:val="1"/>
    <w:qFormat/>
    <w:uiPriority w:val="0"/>
    <w:pPr>
      <w:keepNext/>
      <w:numPr>
        <w:ilvl w:val="3"/>
        <w:numId w:val="1"/>
      </w:numPr>
      <w:spacing w:before="120"/>
      <w:outlineLvl w:val="3"/>
    </w:pPr>
    <w:rPr>
      <w:rFonts w:ascii="Arial" w:hAnsi="Arial"/>
    </w:rPr>
  </w:style>
  <w:style w:type="paragraph" w:styleId="8">
    <w:name w:val="heading 5"/>
    <w:basedOn w:val="1"/>
    <w:next w:val="1"/>
    <w:qFormat/>
    <w:uiPriority w:val="0"/>
    <w:pPr>
      <w:keepNext/>
      <w:numPr>
        <w:ilvl w:val="4"/>
        <w:numId w:val="1"/>
      </w:numPr>
      <w:spacing w:before="120"/>
      <w:outlineLvl w:val="4"/>
    </w:pPr>
    <w:rPr>
      <w:rFonts w:ascii="Arial" w:hAnsi="Arial"/>
    </w:rPr>
  </w:style>
  <w:style w:type="paragraph" w:styleId="9">
    <w:name w:val="heading 6"/>
    <w:basedOn w:val="1"/>
    <w:next w:val="1"/>
    <w:qFormat/>
    <w:uiPriority w:val="0"/>
    <w:pPr>
      <w:keepNext/>
      <w:numPr>
        <w:ilvl w:val="5"/>
        <w:numId w:val="1"/>
      </w:numPr>
      <w:spacing w:before="120"/>
      <w:outlineLvl w:val="5"/>
    </w:pPr>
    <w:rPr>
      <w:rFonts w:ascii="Arial" w:hAnsi="Arial"/>
    </w:rPr>
  </w:style>
  <w:style w:type="paragraph" w:styleId="10">
    <w:name w:val="heading 7"/>
    <w:basedOn w:val="1"/>
    <w:next w:val="1"/>
    <w:qFormat/>
    <w:uiPriority w:val="0"/>
    <w:pPr>
      <w:keepNext/>
      <w:numPr>
        <w:ilvl w:val="6"/>
        <w:numId w:val="1"/>
      </w:numPr>
      <w:spacing w:before="120"/>
      <w:outlineLvl w:val="6"/>
    </w:pPr>
    <w:rPr>
      <w:rFonts w:ascii="Arial" w:hAnsi="Arial"/>
    </w:rPr>
  </w:style>
  <w:style w:type="paragraph" w:styleId="11">
    <w:name w:val="heading 8"/>
    <w:basedOn w:val="1"/>
    <w:next w:val="1"/>
    <w:qFormat/>
    <w:uiPriority w:val="0"/>
    <w:pPr>
      <w:keepNext/>
      <w:numPr>
        <w:ilvl w:val="7"/>
        <w:numId w:val="1"/>
      </w:numPr>
      <w:spacing w:before="120"/>
      <w:outlineLvl w:val="7"/>
    </w:pPr>
    <w:rPr>
      <w:rFonts w:ascii="Arial" w:hAnsi="Arial"/>
    </w:rPr>
  </w:style>
  <w:style w:type="paragraph" w:styleId="12">
    <w:name w:val="heading 9"/>
    <w:basedOn w:val="1"/>
    <w:next w:val="1"/>
    <w:qFormat/>
    <w:uiPriority w:val="0"/>
    <w:pPr>
      <w:keepNext/>
      <w:numPr>
        <w:ilvl w:val="8"/>
        <w:numId w:val="1"/>
      </w:numPr>
      <w:spacing w:before="180" w:after="120"/>
      <w:outlineLvl w:val="8"/>
    </w:pPr>
    <w:rPr>
      <w:rFonts w:ascii="Arial" w:hAnsi="Arial"/>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cs="Arial"/>
      <w:color w:val="FF0000"/>
    </w:rPr>
  </w:style>
  <w:style w:type="paragraph" w:styleId="3">
    <w:name w:val="Title"/>
    <w:basedOn w:val="1"/>
    <w:next w:val="1"/>
    <w:qFormat/>
    <w:uiPriority w:val="0"/>
    <w:pPr>
      <w:spacing w:before="120"/>
      <w:jc w:val="center"/>
      <w:outlineLvl w:val="0"/>
    </w:pPr>
    <w:rPr>
      <w:b/>
      <w:sz w:val="32"/>
    </w:rPr>
  </w:style>
  <w:style w:type="paragraph" w:styleId="13">
    <w:name w:val="List 3"/>
    <w:basedOn w:val="1"/>
    <w:qFormat/>
    <w:uiPriority w:val="0"/>
    <w:pPr>
      <w:ind w:left="1135"/>
    </w:pPr>
  </w:style>
  <w:style w:type="paragraph" w:styleId="14">
    <w:name w:val="annotation text"/>
    <w:basedOn w:val="1"/>
    <w:link w:val="53"/>
    <w:semiHidden/>
    <w:qFormat/>
    <w:uiPriority w:val="0"/>
    <w:pPr>
      <w:tabs>
        <w:tab w:val="left" w:pos="1418"/>
        <w:tab w:val="left" w:pos="4678"/>
        <w:tab w:val="left" w:pos="5954"/>
        <w:tab w:val="left" w:pos="7088"/>
      </w:tabs>
      <w:spacing w:after="240"/>
    </w:pPr>
    <w:rPr>
      <w:rFonts w:ascii="Arial" w:hAnsi="Arial"/>
    </w:rPr>
  </w:style>
  <w:style w:type="paragraph" w:styleId="15">
    <w:name w:val="List 2"/>
    <w:basedOn w:val="1"/>
    <w:qFormat/>
    <w:uiPriority w:val="0"/>
    <w:pPr>
      <w:ind w:left="851"/>
    </w:pPr>
  </w:style>
  <w:style w:type="paragraph" w:styleId="16">
    <w:name w:val="Balloon Text"/>
    <w:basedOn w:val="1"/>
    <w:link w:val="34"/>
    <w:semiHidden/>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List Number 5"/>
    <w:basedOn w:val="1"/>
    <w:qFormat/>
    <w:uiPriority w:val="0"/>
    <w:pPr>
      <w:numPr>
        <w:ilvl w:val="0"/>
        <w:numId w:val="2"/>
      </w:numPr>
      <w:overflowPunct w:val="0"/>
      <w:autoSpaceDE w:val="0"/>
      <w:autoSpaceDN w:val="0"/>
      <w:adjustRightInd w:val="0"/>
      <w:contextualSpacing/>
      <w:jc w:val="left"/>
      <w:textAlignment w:val="baseline"/>
    </w:pPr>
    <w:rPr>
      <w:rFonts w:eastAsiaTheme="minorEastAsia"/>
    </w:rPr>
  </w:style>
  <w:style w:type="paragraph" w:styleId="20">
    <w:name w:val="List"/>
    <w:basedOn w:val="1"/>
    <w:qFormat/>
    <w:uiPriority w:val="0"/>
    <w:pPr>
      <w:ind w:left="568" w:hanging="284"/>
    </w:pPr>
  </w:style>
  <w:style w:type="paragraph" w:styleId="21">
    <w:name w:val="Normal (Web)"/>
    <w:basedOn w:val="1"/>
    <w:semiHidden/>
    <w:unhideWhenUsed/>
    <w:qFormat/>
    <w:uiPriority w:val="99"/>
    <w:pPr>
      <w:spacing w:beforeAutospacing="1" w:after="0" w:afterAutospacing="1"/>
      <w:jc w:val="left"/>
    </w:pPr>
    <w:rPr>
      <w:sz w:val="24"/>
      <w:lang w:val="en-US" w:eastAsia="zh-CN"/>
    </w:rPr>
  </w:style>
  <w:style w:type="paragraph" w:styleId="22">
    <w:name w:val="annotation subject"/>
    <w:basedOn w:val="14"/>
    <w:next w:val="14"/>
    <w:link w:val="54"/>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24">
    <w:name w:val="Table Grid"/>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page number"/>
    <w:basedOn w:val="25"/>
    <w:semiHidden/>
    <w:qFormat/>
    <w:uiPriority w:val="0"/>
  </w:style>
  <w:style w:type="character" w:styleId="28">
    <w:name w:val="Hyperlink"/>
    <w:qFormat/>
    <w:uiPriority w:val="99"/>
    <w:rPr>
      <w:color w:val="0000FF"/>
      <w:u w:val="single"/>
    </w:rPr>
  </w:style>
  <w:style w:type="character" w:styleId="29">
    <w:name w:val="annotation reference"/>
    <w:semiHidden/>
    <w:qFormat/>
    <w:uiPriority w:val="0"/>
    <w:rPr>
      <w:sz w:val="16"/>
    </w:rPr>
  </w:style>
  <w:style w:type="paragraph" w:customStyle="1" w:styleId="30">
    <w:name w:val="DECISION"/>
    <w:basedOn w:val="1"/>
    <w:qFormat/>
    <w:uiPriority w:val="0"/>
    <w:pPr>
      <w:widowControl w:val="0"/>
      <w:numPr>
        <w:ilvl w:val="0"/>
        <w:numId w:val="3"/>
      </w:numPr>
      <w:spacing w:before="120" w:after="120"/>
    </w:pPr>
    <w:rPr>
      <w:rFonts w:ascii="Arial" w:hAnsi="Arial"/>
      <w:b/>
      <w:color w:val="0000FF"/>
      <w:u w:val="single"/>
    </w:rPr>
  </w:style>
  <w:style w:type="paragraph" w:customStyle="1" w:styleId="31">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pPr>
    <w:rPr>
      <w:rFonts w:ascii="Arial" w:hAnsi="Arial"/>
      <w:b/>
      <w:color w:val="FF0000"/>
    </w:rPr>
  </w:style>
  <w:style w:type="paragraph" w:customStyle="1" w:styleId="32">
    <w:name w:val="done"/>
    <w:basedOn w:val="31"/>
    <w:qFormat/>
    <w:uiPriority w:val="0"/>
    <w:pPr>
      <w:numPr>
        <w:numId w:val="5"/>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3">
    <w:name w:val="Not Done"/>
    <w:basedOn w:val="32"/>
    <w:qFormat/>
    <w:uiPriority w:val="0"/>
    <w:pPr>
      <w:numPr>
        <w:numId w:val="6"/>
      </w:numPr>
      <w:tabs>
        <w:tab w:val="left" w:pos="0"/>
      </w:tabs>
    </w:pPr>
    <w:rPr>
      <w:color w:val="FF0000"/>
    </w:rPr>
  </w:style>
  <w:style w:type="character" w:customStyle="1" w:styleId="34">
    <w:name w:val="批注框文本 字符"/>
    <w:link w:val="16"/>
    <w:semiHidden/>
    <w:qFormat/>
    <w:uiPriority w:val="99"/>
    <w:rPr>
      <w:rFonts w:ascii="Segoe UI" w:hAnsi="Segoe UI" w:cs="Segoe UI"/>
      <w:sz w:val="18"/>
      <w:szCs w:val="18"/>
      <w:lang w:eastAsia="en-US"/>
    </w:rPr>
  </w:style>
  <w:style w:type="paragraph" w:styleId="35">
    <w:name w:val="List Paragraph"/>
    <w:basedOn w:val="1"/>
    <w:link w:val="59"/>
    <w:qFormat/>
    <w:uiPriority w:val="34"/>
    <w:pPr>
      <w:ind w:left="720"/>
    </w:pPr>
  </w:style>
  <w:style w:type="character" w:customStyle="1" w:styleId="36">
    <w:name w:val="不明显参考1"/>
    <w:qFormat/>
    <w:uiPriority w:val="31"/>
    <w:rPr>
      <w:smallCaps/>
      <w:color w:val="5A5A5A"/>
    </w:rPr>
  </w:style>
  <w:style w:type="paragraph" w:customStyle="1" w:styleId="37">
    <w:name w:val="References"/>
    <w:basedOn w:val="1"/>
    <w:link w:val="38"/>
    <w:qFormat/>
    <w:uiPriority w:val="0"/>
    <w:pPr>
      <w:numPr>
        <w:ilvl w:val="0"/>
        <w:numId w:val="7"/>
      </w:numPr>
      <w:spacing w:after="60"/>
      <w:ind w:left="357" w:hanging="357"/>
    </w:pPr>
  </w:style>
  <w:style w:type="character" w:customStyle="1" w:styleId="38">
    <w:name w:val="References 字符"/>
    <w:link w:val="37"/>
    <w:qFormat/>
    <w:uiPriority w:val="0"/>
    <w:rPr>
      <w:lang w:val="en-GB" w:eastAsia="en-US"/>
    </w:rPr>
  </w:style>
  <w:style w:type="paragraph" w:styleId="39">
    <w:name w:val="Quote"/>
    <w:basedOn w:val="1"/>
    <w:next w:val="1"/>
    <w:link w:val="40"/>
    <w:qFormat/>
    <w:uiPriority w:val="29"/>
    <w:pPr>
      <w:spacing w:before="200" w:after="160"/>
      <w:ind w:left="864" w:right="864"/>
      <w:jc w:val="center"/>
    </w:pPr>
    <w:rPr>
      <w:i/>
      <w:iCs/>
      <w:color w:val="404040"/>
    </w:rPr>
  </w:style>
  <w:style w:type="character" w:customStyle="1" w:styleId="40">
    <w:name w:val="引用 字符"/>
    <w:link w:val="39"/>
    <w:qFormat/>
    <w:uiPriority w:val="29"/>
    <w:rPr>
      <w:i/>
      <w:iCs/>
      <w:color w:val="404040"/>
      <w:lang w:val="en-GB" w:eastAsia="en-US"/>
    </w:rPr>
  </w:style>
  <w:style w:type="character" w:customStyle="1" w:styleId="41">
    <w:name w:val="书籍标题1"/>
    <w:qFormat/>
    <w:uiPriority w:val="33"/>
    <w:rPr>
      <w:b/>
      <w:bCs/>
      <w:i/>
      <w:iCs/>
      <w:spacing w:val="5"/>
    </w:rPr>
  </w:style>
  <w:style w:type="paragraph" w:styleId="42">
    <w:name w:val="No Spacing"/>
    <w:qFormat/>
    <w:uiPriority w:val="1"/>
    <w:rPr>
      <w:rFonts w:ascii="Times New Roman" w:hAnsi="Times New Roman" w:eastAsia="Times New Roman" w:cs="Times New Roman"/>
      <w:lang w:val="en-GB" w:eastAsia="en-US" w:bidi="ar-SA"/>
    </w:rPr>
  </w:style>
  <w:style w:type="paragraph" w:customStyle="1" w:styleId="43">
    <w:name w:val="B1"/>
    <w:basedOn w:val="20"/>
    <w:link w:val="45"/>
    <w:qFormat/>
    <w:uiPriority w:val="0"/>
    <w:pPr>
      <w:overflowPunct w:val="0"/>
      <w:autoSpaceDE w:val="0"/>
      <w:autoSpaceDN w:val="0"/>
      <w:adjustRightInd w:val="0"/>
      <w:jc w:val="left"/>
      <w:textAlignment w:val="baseline"/>
    </w:pPr>
    <w:rPr>
      <w:rFonts w:eastAsiaTheme="minorEastAsia"/>
      <w:lang w:eastAsia="en-GB"/>
    </w:rPr>
  </w:style>
  <w:style w:type="paragraph" w:customStyle="1" w:styleId="44">
    <w:name w:val="B2"/>
    <w:basedOn w:val="15"/>
    <w:link w:val="46"/>
    <w:qFormat/>
    <w:uiPriority w:val="0"/>
    <w:pPr>
      <w:overflowPunct w:val="0"/>
      <w:autoSpaceDE w:val="0"/>
      <w:autoSpaceDN w:val="0"/>
      <w:adjustRightInd w:val="0"/>
      <w:jc w:val="left"/>
      <w:textAlignment w:val="baseline"/>
    </w:pPr>
    <w:rPr>
      <w:rFonts w:eastAsiaTheme="minorEastAsia"/>
      <w:lang w:eastAsia="en-GB"/>
    </w:rPr>
  </w:style>
  <w:style w:type="character" w:customStyle="1" w:styleId="45">
    <w:name w:val="B1 Char1"/>
    <w:link w:val="43"/>
    <w:qFormat/>
    <w:uiPriority w:val="0"/>
    <w:rPr>
      <w:lang w:val="en-GB" w:eastAsia="en-GB"/>
    </w:rPr>
  </w:style>
  <w:style w:type="character" w:customStyle="1" w:styleId="46">
    <w:name w:val="B2 Char"/>
    <w:link w:val="44"/>
    <w:qFormat/>
    <w:uiPriority w:val="0"/>
    <w:rPr>
      <w:lang w:val="en-GB" w:eastAsia="en-GB"/>
    </w:rPr>
  </w:style>
  <w:style w:type="paragraph" w:customStyle="1" w:styleId="47">
    <w:name w:val="item"/>
    <w:basedOn w:val="1"/>
    <w:qFormat/>
    <w:uiPriority w:val="0"/>
    <w:pPr>
      <w:numPr>
        <w:ilvl w:val="0"/>
        <w:numId w:val="8"/>
      </w:numPr>
      <w:tabs>
        <w:tab w:val="clear" w:pos="360"/>
      </w:tabs>
      <w:overflowPunct w:val="0"/>
      <w:autoSpaceDE w:val="0"/>
      <w:autoSpaceDN w:val="0"/>
      <w:adjustRightInd w:val="0"/>
      <w:spacing w:after="0"/>
      <w:ind w:left="720"/>
      <w:textAlignment w:val="baseline"/>
    </w:pPr>
    <w:rPr>
      <w:rFonts w:eastAsia="MS Mincho"/>
      <w:lang w:eastAsia="en-GB"/>
    </w:rPr>
  </w:style>
  <w:style w:type="paragraph" w:customStyle="1" w:styleId="48">
    <w:name w:val="List Paragraph1"/>
    <w:basedOn w:val="1"/>
    <w:link w:val="52"/>
    <w:qFormat/>
    <w:uiPriority w:val="0"/>
    <w:pPr>
      <w:spacing w:after="0"/>
      <w:ind w:left="720"/>
      <w:contextualSpacing/>
      <w:jc w:val="left"/>
    </w:pPr>
    <w:rPr>
      <w:rFonts w:eastAsia="Times New Roman"/>
      <w:sz w:val="24"/>
      <w:szCs w:val="24"/>
      <w:lang w:val="en-US" w:eastAsia="zh-CN"/>
    </w:rPr>
  </w:style>
  <w:style w:type="paragraph" w:customStyle="1" w:styleId="49">
    <w:name w:val="B3"/>
    <w:basedOn w:val="13"/>
    <w:link w:val="50"/>
    <w:qFormat/>
    <w:uiPriority w:val="0"/>
    <w:pPr>
      <w:overflowPunct w:val="0"/>
      <w:autoSpaceDE w:val="0"/>
      <w:autoSpaceDN w:val="0"/>
      <w:adjustRightInd w:val="0"/>
      <w:jc w:val="left"/>
      <w:textAlignment w:val="baseline"/>
    </w:pPr>
    <w:rPr>
      <w:rFonts w:eastAsiaTheme="minorEastAsia"/>
      <w:lang w:eastAsia="en-GB"/>
    </w:rPr>
  </w:style>
  <w:style w:type="character" w:customStyle="1" w:styleId="50">
    <w:name w:val="B3 Char"/>
    <w:basedOn w:val="25"/>
    <w:link w:val="49"/>
    <w:qFormat/>
    <w:uiPriority w:val="0"/>
    <w:rPr>
      <w:lang w:val="en-GB" w:eastAsia="en-GB"/>
    </w:rPr>
  </w:style>
  <w:style w:type="paragraph" w:customStyle="1" w:styleId="51">
    <w:name w:val="EX"/>
    <w:basedOn w:val="1"/>
    <w:qFormat/>
    <w:uiPriority w:val="0"/>
    <w:pPr>
      <w:keepLines/>
      <w:overflowPunct w:val="0"/>
      <w:autoSpaceDE w:val="0"/>
      <w:autoSpaceDN w:val="0"/>
      <w:adjustRightInd w:val="0"/>
      <w:ind w:left="1702" w:hanging="1418"/>
      <w:jc w:val="left"/>
      <w:textAlignment w:val="baseline"/>
    </w:pPr>
    <w:rPr>
      <w:rFonts w:eastAsiaTheme="minorEastAsia"/>
      <w:lang w:eastAsia="en-GB"/>
    </w:rPr>
  </w:style>
  <w:style w:type="character" w:customStyle="1" w:styleId="52">
    <w:name w:val="リスト段落 (文字)"/>
    <w:link w:val="48"/>
    <w:qFormat/>
    <w:uiPriority w:val="34"/>
    <w:rPr>
      <w:rFonts w:eastAsia="Times New Roman"/>
      <w:sz w:val="24"/>
      <w:szCs w:val="24"/>
    </w:rPr>
  </w:style>
  <w:style w:type="character" w:customStyle="1" w:styleId="53">
    <w:name w:val="批注文字 字符"/>
    <w:basedOn w:val="25"/>
    <w:link w:val="14"/>
    <w:semiHidden/>
    <w:qFormat/>
    <w:uiPriority w:val="0"/>
    <w:rPr>
      <w:rFonts w:ascii="Arial" w:hAnsi="Arial" w:eastAsia="宋体"/>
      <w:lang w:val="en-GB" w:eastAsia="en-US"/>
    </w:rPr>
  </w:style>
  <w:style w:type="character" w:customStyle="1" w:styleId="54">
    <w:name w:val="批注主题 字符"/>
    <w:basedOn w:val="53"/>
    <w:link w:val="22"/>
    <w:semiHidden/>
    <w:qFormat/>
    <w:uiPriority w:val="99"/>
    <w:rPr>
      <w:rFonts w:ascii="Arial" w:hAnsi="Arial" w:eastAsia="宋体"/>
      <w:b/>
      <w:bCs/>
      <w:lang w:val="en-GB" w:eastAsia="en-US"/>
    </w:rPr>
  </w:style>
  <w:style w:type="character" w:customStyle="1" w:styleId="55">
    <w:name w:val="B1 Zchn"/>
    <w:qFormat/>
    <w:uiPriority w:val="0"/>
    <w:rPr>
      <w:lang w:eastAsia="en-US"/>
    </w:rPr>
  </w:style>
  <w:style w:type="paragraph" w:customStyle="1" w:styleId="56">
    <w:name w:val="enumlev2"/>
    <w:basedOn w:val="1"/>
    <w:qFormat/>
    <w:uiPriority w:val="0"/>
    <w:pPr>
      <w:numPr>
        <w:ilvl w:val="0"/>
        <w:numId w:val="9"/>
      </w:numPr>
      <w:tabs>
        <w:tab w:val="left" w:pos="794"/>
        <w:tab w:val="left" w:pos="1191"/>
        <w:tab w:val="left" w:pos="1588"/>
        <w:tab w:val="left" w:pos="1985"/>
      </w:tabs>
      <w:overflowPunct w:val="0"/>
      <w:autoSpaceDE w:val="0"/>
      <w:autoSpaceDN w:val="0"/>
      <w:adjustRightInd w:val="0"/>
      <w:spacing w:before="86"/>
      <w:ind w:left="1588" w:hanging="397"/>
      <w:textAlignment w:val="baseline"/>
    </w:pPr>
    <w:rPr>
      <w:lang w:val="en-US" w:eastAsia="en-GB"/>
    </w:rPr>
  </w:style>
  <w:style w:type="paragraph" w:customStyle="1" w:styleId="57">
    <w:name w:val="text intend 1"/>
    <w:basedOn w:val="1"/>
    <w:qFormat/>
    <w:uiPriority w:val="0"/>
    <w:pPr>
      <w:numPr>
        <w:ilvl w:val="0"/>
        <w:numId w:val="10"/>
      </w:numPr>
      <w:overflowPunct w:val="0"/>
      <w:autoSpaceDE w:val="0"/>
      <w:autoSpaceDN w:val="0"/>
      <w:adjustRightInd w:val="0"/>
      <w:spacing w:after="120"/>
      <w:textAlignment w:val="baseline"/>
    </w:pPr>
    <w:rPr>
      <w:rFonts w:eastAsia="MS Mincho"/>
      <w:sz w:val="24"/>
      <w:lang w:val="en-US" w:eastAsia="zh-CN"/>
    </w:rPr>
  </w:style>
  <w:style w:type="paragraph" w:customStyle="1" w:styleId="58">
    <w:name w:val="EQ"/>
    <w:basedOn w:val="1"/>
    <w:next w:val="1"/>
    <w:qFormat/>
    <w:uiPriority w:val="0"/>
    <w:pPr>
      <w:keepLines/>
      <w:tabs>
        <w:tab w:val="center" w:pos="4536"/>
        <w:tab w:val="right" w:pos="9072"/>
      </w:tabs>
    </w:pPr>
  </w:style>
  <w:style w:type="character" w:customStyle="1" w:styleId="59">
    <w:name w:val="列表段落 字符"/>
    <w:link w:val="35"/>
    <w:qFormat/>
    <w:uiPriority w:val="34"/>
    <w:rPr>
      <w:rFonts w:eastAsia="宋体"/>
      <w:lang w:val="en-GB" w:eastAsia="en-US"/>
    </w:rPr>
  </w:style>
  <w:style w:type="paragraph" w:customStyle="1" w:styleId="60">
    <w:name w:val="List Paragraph2"/>
    <w:basedOn w:val="1"/>
    <w:qFormat/>
    <w:uiPriority w:val="0"/>
    <w:pPr>
      <w:spacing w:before="100" w:beforeAutospacing="1" w:after="100" w:afterAutospacing="1"/>
      <w:ind w:left="840" w:leftChars="400"/>
      <w:jc w:val="left"/>
    </w:pPr>
    <w:rPr>
      <w:rFonts w:eastAsia="MS Gothic"/>
      <w:sz w:val="24"/>
      <w:szCs w:val="24"/>
      <w:lang w:val="en-US" w:eastAsia="zh-CN"/>
    </w:rPr>
  </w:style>
  <w:style w:type="paragraph" w:customStyle="1" w:styleId="61">
    <w:name w:val="B4"/>
    <w:basedOn w:val="1"/>
    <w:link w:val="68"/>
    <w:qFormat/>
    <w:uiPriority w:val="0"/>
    <w:pPr>
      <w:ind w:left="1418" w:hanging="284"/>
      <w:jc w:val="left"/>
    </w:pPr>
  </w:style>
  <w:style w:type="paragraph" w:customStyle="1" w:styleId="62">
    <w:name w:val="B5"/>
    <w:basedOn w:val="1"/>
    <w:link w:val="69"/>
    <w:qFormat/>
    <w:uiPriority w:val="0"/>
    <w:pPr>
      <w:ind w:left="1702" w:hanging="284"/>
      <w:jc w:val="left"/>
    </w:pPr>
  </w:style>
  <w:style w:type="paragraph" w:customStyle="1" w:styleId="63">
    <w:name w:val="bullet1"/>
    <w:basedOn w:val="1"/>
    <w:qFormat/>
    <w:uiPriority w:val="0"/>
    <w:pPr>
      <w:numPr>
        <w:ilvl w:val="0"/>
        <w:numId w:val="11"/>
      </w:numPr>
      <w:spacing w:after="0"/>
      <w:jc w:val="left"/>
    </w:pPr>
    <w:rPr>
      <w:rFonts w:ascii="Calibri" w:hAnsi="Calibri"/>
      <w:kern w:val="2"/>
      <w:sz w:val="24"/>
      <w:szCs w:val="24"/>
      <w:lang w:eastAsia="zh-CN"/>
    </w:rPr>
  </w:style>
  <w:style w:type="paragraph" w:customStyle="1" w:styleId="64">
    <w:name w:val="bullet2"/>
    <w:basedOn w:val="1"/>
    <w:qFormat/>
    <w:uiPriority w:val="0"/>
    <w:pPr>
      <w:numPr>
        <w:ilvl w:val="1"/>
        <w:numId w:val="11"/>
      </w:numPr>
      <w:spacing w:after="0"/>
      <w:jc w:val="left"/>
    </w:pPr>
    <w:rPr>
      <w:rFonts w:ascii="Times" w:hAnsi="Times"/>
      <w:kern w:val="2"/>
      <w:sz w:val="24"/>
      <w:szCs w:val="24"/>
      <w:lang w:eastAsia="zh-CN"/>
    </w:rPr>
  </w:style>
  <w:style w:type="paragraph" w:customStyle="1" w:styleId="65">
    <w:name w:val="bullet3"/>
    <w:basedOn w:val="1"/>
    <w:qFormat/>
    <w:uiPriority w:val="0"/>
    <w:pPr>
      <w:numPr>
        <w:ilvl w:val="2"/>
        <w:numId w:val="11"/>
      </w:numPr>
      <w:spacing w:after="0"/>
      <w:jc w:val="left"/>
    </w:pPr>
    <w:rPr>
      <w:rFonts w:ascii="Times" w:hAnsi="Times" w:eastAsia="Batang"/>
      <w:szCs w:val="24"/>
    </w:rPr>
  </w:style>
  <w:style w:type="paragraph" w:customStyle="1" w:styleId="66">
    <w:name w:val="bullet4"/>
    <w:basedOn w:val="1"/>
    <w:qFormat/>
    <w:uiPriority w:val="0"/>
    <w:pPr>
      <w:numPr>
        <w:ilvl w:val="3"/>
        <w:numId w:val="11"/>
      </w:numPr>
      <w:spacing w:after="0"/>
      <w:jc w:val="left"/>
    </w:pPr>
    <w:rPr>
      <w:rFonts w:ascii="Times" w:hAnsi="Times" w:eastAsia="Batang"/>
      <w:szCs w:val="24"/>
    </w:rPr>
  </w:style>
  <w:style w:type="paragraph" w:customStyle="1" w:styleId="67">
    <w:name w:val="Spec Text Num"/>
    <w:basedOn w:val="1"/>
    <w:qFormat/>
    <w:uiPriority w:val="0"/>
    <w:pPr>
      <w:numPr>
        <w:ilvl w:val="0"/>
        <w:numId w:val="12"/>
      </w:numPr>
      <w:tabs>
        <w:tab w:val="left" w:pos="851"/>
        <w:tab w:val="clear" w:pos="1134"/>
      </w:tabs>
      <w:spacing w:after="0"/>
      <w:ind w:left="851" w:hanging="851"/>
      <w:jc w:val="left"/>
    </w:pPr>
    <w:rPr>
      <w:rFonts w:eastAsia="MS Mincho"/>
      <w:sz w:val="24"/>
      <w:szCs w:val="24"/>
      <w:lang w:val="en-US" w:eastAsia="ja-JP"/>
    </w:rPr>
  </w:style>
  <w:style w:type="character" w:customStyle="1" w:styleId="68">
    <w:name w:val="B4 Char"/>
    <w:link w:val="61"/>
    <w:qFormat/>
    <w:uiPriority w:val="0"/>
    <w:rPr>
      <w:rFonts w:eastAsia="宋体"/>
      <w:lang w:val="en-GB" w:eastAsia="en-US"/>
    </w:rPr>
  </w:style>
  <w:style w:type="character" w:customStyle="1" w:styleId="69">
    <w:name w:val="B5 Char"/>
    <w:link w:val="62"/>
    <w:qFormat/>
    <w:uiPriority w:val="0"/>
    <w:rPr>
      <w:rFonts w:eastAsia="宋体"/>
      <w:lang w:val="en-GB" w:eastAsia="en-US"/>
    </w:rPr>
  </w:style>
  <w:style w:type="paragraph" w:customStyle="1" w:styleId="70">
    <w:name w:val="修订1"/>
    <w:hidden/>
    <w:semiHidden/>
    <w:qFormat/>
    <w:uiPriority w:val="99"/>
    <w:rPr>
      <w:rFonts w:ascii="Times New Roman" w:hAnsi="Times New Roman" w:eastAsia="宋体" w:cs="Times New Roman"/>
      <w:lang w:val="en-GB" w:eastAsia="en-US" w:bidi="ar-SA"/>
    </w:rPr>
  </w:style>
  <w:style w:type="paragraph" w:customStyle="1" w:styleId="71">
    <w:name w:val="TAH"/>
    <w:basedOn w:val="72"/>
    <w:link w:val="76"/>
    <w:qFormat/>
    <w:uiPriority w:val="0"/>
    <w:rPr>
      <w:b/>
    </w:rPr>
  </w:style>
  <w:style w:type="paragraph" w:customStyle="1" w:styleId="72">
    <w:name w:val="TAC"/>
    <w:basedOn w:val="1"/>
    <w:link w:val="75"/>
    <w:qFormat/>
    <w:uiPriority w:val="0"/>
    <w:pPr>
      <w:keepNext/>
      <w:keepLines/>
      <w:overflowPunct w:val="0"/>
      <w:autoSpaceDE w:val="0"/>
      <w:autoSpaceDN w:val="0"/>
      <w:adjustRightInd w:val="0"/>
      <w:spacing w:after="0"/>
      <w:jc w:val="center"/>
      <w:textAlignment w:val="baseline"/>
    </w:pPr>
    <w:rPr>
      <w:rFonts w:ascii="Arial" w:hAnsi="Arial" w:eastAsiaTheme="minorEastAsia"/>
      <w:sz w:val="18"/>
    </w:rPr>
  </w:style>
  <w:style w:type="paragraph" w:customStyle="1" w:styleId="73">
    <w:name w:val="TH"/>
    <w:basedOn w:val="1"/>
    <w:link w:val="74"/>
    <w:qFormat/>
    <w:uiPriority w:val="0"/>
    <w:pPr>
      <w:keepNext/>
      <w:keepLines/>
      <w:overflowPunct w:val="0"/>
      <w:autoSpaceDE w:val="0"/>
      <w:autoSpaceDN w:val="0"/>
      <w:adjustRightInd w:val="0"/>
      <w:spacing w:before="60"/>
      <w:jc w:val="center"/>
      <w:textAlignment w:val="baseline"/>
    </w:pPr>
    <w:rPr>
      <w:rFonts w:ascii="Arial" w:hAnsi="Arial" w:eastAsiaTheme="minorEastAsia"/>
      <w:b/>
    </w:rPr>
  </w:style>
  <w:style w:type="character" w:customStyle="1" w:styleId="74">
    <w:name w:val="TH Char"/>
    <w:link w:val="73"/>
    <w:qFormat/>
    <w:uiPriority w:val="0"/>
    <w:rPr>
      <w:rFonts w:ascii="Arial" w:hAnsi="Arial"/>
      <w:b/>
      <w:lang w:val="en-GB" w:eastAsia="en-US"/>
    </w:rPr>
  </w:style>
  <w:style w:type="character" w:customStyle="1" w:styleId="75">
    <w:name w:val="TAC Char"/>
    <w:link w:val="72"/>
    <w:qFormat/>
    <w:uiPriority w:val="0"/>
    <w:rPr>
      <w:rFonts w:ascii="Arial" w:hAnsi="Arial"/>
      <w:sz w:val="18"/>
      <w:lang w:val="en-GB" w:eastAsia="en-US"/>
    </w:rPr>
  </w:style>
  <w:style w:type="character" w:customStyle="1" w:styleId="76">
    <w:name w:val="TAH Car"/>
    <w:link w:val="71"/>
    <w:qFormat/>
    <w:uiPriority w:val="0"/>
    <w:rPr>
      <w:rFonts w:ascii="Arial" w:hAnsi="Arial"/>
      <w:b/>
      <w:sz w:val="18"/>
      <w:lang w:val="en-GB" w:eastAsia="en-US"/>
    </w:rPr>
  </w:style>
  <w:style w:type="paragraph" w:customStyle="1" w:styleId="77">
    <w:name w:val="修订2"/>
    <w:hidden/>
    <w:semiHidden/>
    <w:qFormat/>
    <w:uiPriority w:val="99"/>
    <w:rPr>
      <w:rFonts w:ascii="Times New Roman" w:hAnsi="Times New Roman" w:eastAsia="宋体" w:cs="Times New Roman"/>
      <w:lang w:val="en-GB" w:eastAsia="en-US" w:bidi="ar-SA"/>
    </w:rPr>
  </w:style>
  <w:style w:type="paragraph" w:customStyle="1" w:styleId="78">
    <w:name w:val="修订3"/>
    <w:hidden/>
    <w:semiHidden/>
    <w:qFormat/>
    <w:uiPriority w:val="99"/>
    <w:rPr>
      <w:rFonts w:ascii="Times New Roman" w:hAnsi="Times New Roman" w:eastAsia="宋体" w:cs="Times New Roman"/>
      <w:lang w:val="en-GB" w:eastAsia="en-US" w:bidi="ar-SA"/>
    </w:rPr>
  </w:style>
  <w:style w:type="character" w:customStyle="1" w:styleId="79">
    <w:name w:val="apple-converted-space"/>
    <w:basedOn w:val="25"/>
    <w:qFormat/>
    <w:uiPriority w:val="0"/>
  </w:style>
  <w:style w:type="paragraph" w:customStyle="1" w:styleId="80">
    <w:name w:val="0 Main text"/>
    <w:basedOn w:val="1"/>
    <w:qFormat/>
    <w:uiPriority w:val="0"/>
    <w:pPr>
      <w:spacing w:after="120" w:line="276" w:lineRule="auto"/>
      <w:jc w:val="both"/>
    </w:pPr>
    <w:rPr>
      <w:rFonts w:cs="Batang"/>
      <w:sz w:val="20"/>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8EF96-059D-4917-9741-076D8BFDA857}">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14</Pages>
  <Words>7366</Words>
  <Characters>41990</Characters>
  <Lines>349</Lines>
  <Paragraphs>98</Paragraphs>
  <TotalTime>4</TotalTime>
  <ScaleCrop>false</ScaleCrop>
  <LinksUpToDate>false</LinksUpToDate>
  <CharactersWithSpaces>49258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2022-10-06T13:14:00Z</dcterms:created>
  <dc:creator>ZTE Corporation</dc:creator>
  <cp:lastModifiedBy>ZTE - Jing Shi</cp:lastModifiedBy>
  <cp:lastPrinted>2002-04-23T01:10:00Z</cp:lastPrinted>
  <dcterms:modified xsi:type="dcterms:W3CDTF">2025-11-07T13:08:37Z</dcterms:modified>
  <cp:revision>345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